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theme/themeOverride14.xml" ContentType="application/vnd.openxmlformats-officedocument.themeOverride+xml"/>
  <Override PartName="/word/charts/style18.xml" ContentType="application/vnd.ms-office.chartstyle+xml"/>
  <Override PartName="/word/charts/style19.xml" ContentType="application/vnd.ms-office.chartstyle+xml"/>
  <Override PartName="/word/charts/chart19.xml" ContentType="application/vnd.openxmlformats-officedocument.drawingml.chart+xml"/>
  <Override PartName="/word/theme/themeOverride15.xml" ContentType="application/vnd.openxmlformats-officedocument.themeOverride+xml"/>
  <Override PartName="/word/charts/colors18.xml" ContentType="application/vnd.ms-office.chartcolorstyle+xml"/>
  <Override PartName="/word/charts/chart18.xml" ContentType="application/vnd.openxmlformats-officedocument.drawingml.chart+xml"/>
  <Override PartName="/word/charts/colors19.xml" ContentType="application/vnd.ms-office.chartcolorstyle+xml"/>
  <Override PartName="/word/charts/style17.xml" ContentType="application/vnd.ms-office.chartstyle+xml"/>
  <Override PartName="/word/charts/style15.xml" ContentType="application/vnd.ms-office.chartstyle+xml"/>
  <Override PartName="/word/charts/chart15.xml" ContentType="application/vnd.openxmlformats-officedocument.drawingml.chart+xml"/>
  <Override PartName="/word/theme/themeOverride11.xml" ContentType="application/vnd.openxmlformats-officedocument.themeOverrid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3.xml" ContentType="application/vnd.openxmlformats-officedocument.themeOverrid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chart14.xml" ContentType="application/vnd.openxmlformats-officedocument.drawingml.chart+xml"/>
  <Override PartName="/word/theme/themeOverride17.xml" ContentType="application/vnd.openxmlformats-officedocument.themeOverride+xml"/>
  <Override PartName="/word/charts/colors20.xml" ContentType="application/vnd.ms-office.chartcolorstyle+xml"/>
  <Override PartName="/word/charts/style20.xml" ContentType="application/vnd.ms-office.chartstyle+xml"/>
  <Override PartName="/word/charts/chart20.xml" ContentType="application/vnd.openxmlformats-officedocument.drawingml.chart+xml"/>
  <Override PartName="/word/theme/theme1.xml" ContentType="application/vnd.openxmlformats-officedocument.theme+xml"/>
  <Override PartName="/word/theme/themeOverride16.xml" ContentType="application/vnd.openxmlformats-officedocument.themeOverride+xml"/>
  <Override PartName="/word/theme/themeOverride9.xml" ContentType="application/vnd.openxmlformats-officedocument.themeOverride+xml"/>
  <Override PartName="/word/theme/themeOverride10.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olors4.xml" ContentType="application/vnd.ms-office.chartcolorstyle+xml"/>
  <Override PartName="/word/charts/style4.xml" ContentType="application/vnd.ms-office.chartstyle+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olors6.xml" ContentType="application/vnd.ms-office.chartcolorstyle+xml"/>
  <Override PartName="/word/charts/style6.xml" ContentType="application/vnd.ms-office.chartstyle+xml"/>
  <Override PartName="/word/charts/chart4.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style7.xml" ContentType="application/vnd.ms-office.chartstyle+xml"/>
  <Override PartName="/word/theme/themeOverride4.xml" ContentType="application/vnd.openxmlformats-officedocument.themeOverride+xml"/>
  <Override PartName="/word/theme/themeOverride8.xml" ContentType="application/vnd.openxmlformats-officedocument.themeOverride+xml"/>
  <Override PartName="/word/charts/colors11.xml" ContentType="application/vnd.ms-office.chartcolorstyle+xml"/>
  <Override PartName="/word/charts/style11.xml" ContentType="application/vnd.ms-office.chartstyle+xml"/>
  <Override PartName="/word/charts/chart11.xml" ContentType="application/vnd.openxmlformats-officedocument.drawingml.chart+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olors13.xml" ContentType="application/vnd.ms-office.chartcolorstyle+xml"/>
  <Override PartName="/word/charts/style13.xml" ContentType="application/vnd.ms-office.chartstyle+xml"/>
  <Override PartName="/word/charts/chart13.xml" ContentType="application/vnd.openxmlformats-officedocument.drawingml.chart+xml"/>
  <Override PartName="/word/charts/colors7.xml" ContentType="application/vnd.ms-office.chartcolorstyle+xml"/>
  <Override PartName="/word/charts/colors10.xml" ContentType="application/vnd.ms-office.chartcolorstyle+xml"/>
  <Override PartName="/word/theme/themeOverride5.xml" ContentType="application/vnd.openxmlformats-officedocument.themeOverride+xml"/>
  <Override PartName="/word/charts/colors8.xml" ContentType="application/vnd.ms-office.chartcolorstyle+xml"/>
  <Override PartName="/word/charts/style8.xml" ContentType="application/vnd.ms-office.chartstyl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olors9.xml" ContentType="application/vnd.ms-office.chartcolorstyle+xml"/>
  <Override PartName="/word/charts/style10.xml" ContentType="application/vnd.ms-office.chartstyle+xml"/>
  <Override PartName="/word/charts/style9.xml" ContentType="application/vnd.ms-office.chartstyle+xml"/>
  <Override PartName="/word/charts/chart10.xml" ContentType="application/vnd.openxmlformats-officedocument.drawingml.chart+xml"/>
  <Override PartName="/word/theme/themeOverride6.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32097" w14:textId="4709ABEF" w:rsidR="00D824D9" w:rsidRPr="007D3D4F" w:rsidRDefault="00372752" w:rsidP="004C072F">
      <w:pPr>
        <w:spacing w:before="120" w:after="120" w:line="240" w:lineRule="auto"/>
        <w:contextualSpacing/>
        <w:rPr>
          <w:rFonts w:ascii="Times New Roman" w:hAnsi="Times New Roman" w:cs="Times New Roman"/>
        </w:rPr>
      </w:pPr>
      <w:bookmarkStart w:id="0" w:name="_GoBack"/>
      <w:bookmarkEnd w:id="0"/>
      <w:r w:rsidRPr="007D3D4F">
        <w:rPr>
          <w:rFonts w:ascii="Times New Roman" w:hAnsi="Times New Roman" w:cs="Times New Roman"/>
          <w:noProof/>
          <w:lang w:eastAsia="ro-RO"/>
        </w:rPr>
        <w:drawing>
          <wp:anchor distT="0" distB="0" distL="114300" distR="114300" simplePos="0" relativeHeight="251728896" behindDoc="0" locked="0" layoutInCell="1" allowOverlap="1" wp14:anchorId="144930F9" wp14:editId="67466B30">
            <wp:simplePos x="0" y="0"/>
            <wp:positionH relativeFrom="column">
              <wp:posOffset>-504825</wp:posOffset>
            </wp:positionH>
            <wp:positionV relativeFrom="paragraph">
              <wp:posOffset>-1028065</wp:posOffset>
            </wp:positionV>
            <wp:extent cx="1856182" cy="1017905"/>
            <wp:effectExtent l="0" t="0" r="0" b="0"/>
            <wp:wrapNone/>
            <wp:docPr id="288188563" name="Picture 288188563" descr="Pagin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ina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6182"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D4F">
        <w:rPr>
          <w:rFonts w:ascii="Times New Roman" w:hAnsi="Times New Roman" w:cs="Times New Roman"/>
          <w:noProof/>
          <w:lang w:eastAsia="ro-RO"/>
        </w:rPr>
        <w:drawing>
          <wp:anchor distT="0" distB="0" distL="114300" distR="114300" simplePos="0" relativeHeight="251726848" behindDoc="0" locked="0" layoutInCell="1" allowOverlap="1" wp14:anchorId="553B5489" wp14:editId="469BCD48">
            <wp:simplePos x="0" y="0"/>
            <wp:positionH relativeFrom="column">
              <wp:posOffset>-999409</wp:posOffset>
            </wp:positionH>
            <wp:positionV relativeFrom="paragraph">
              <wp:posOffset>-1492250</wp:posOffset>
            </wp:positionV>
            <wp:extent cx="13216890" cy="10322623"/>
            <wp:effectExtent l="0" t="0" r="3810" b="2540"/>
            <wp:wrapNone/>
            <wp:docPr id="365925781" name="Picture 3659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6890" cy="10322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1082D" w14:textId="538232F5" w:rsidR="00B61F4B" w:rsidRPr="007D3D4F" w:rsidRDefault="00B61F4B" w:rsidP="004C072F">
      <w:pPr>
        <w:spacing w:before="120" w:after="120" w:line="240" w:lineRule="auto"/>
        <w:contextualSpacing/>
        <w:rPr>
          <w:rFonts w:ascii="Times New Roman" w:hAnsi="Times New Roman" w:cs="Times New Roman"/>
        </w:rPr>
      </w:pPr>
    </w:p>
    <w:p w14:paraId="0ED324E6" w14:textId="14550201" w:rsidR="00B22D58" w:rsidRPr="007D3D4F" w:rsidRDefault="00B22D58" w:rsidP="004C072F">
      <w:pPr>
        <w:pStyle w:val="NormalWeb"/>
        <w:spacing w:before="120" w:beforeAutospacing="0" w:after="120" w:afterAutospacing="0"/>
        <w:contextualSpacing/>
        <w:rPr>
          <w:sz w:val="22"/>
          <w:szCs w:val="22"/>
          <w:lang w:val="ro-RO"/>
        </w:rPr>
      </w:pPr>
    </w:p>
    <w:p w14:paraId="2F19C994" w14:textId="0F4D9C76" w:rsidR="00B61F4B" w:rsidRPr="007D3D4F" w:rsidRDefault="00B61F4B" w:rsidP="004C072F">
      <w:pPr>
        <w:spacing w:before="120" w:after="120" w:line="240" w:lineRule="auto"/>
        <w:contextualSpacing/>
        <w:rPr>
          <w:rFonts w:ascii="Times New Roman" w:hAnsi="Times New Roman" w:cs="Times New Roman"/>
        </w:rPr>
      </w:pPr>
    </w:p>
    <w:p w14:paraId="21DC9267" w14:textId="0D0A06CD" w:rsidR="00B61F4B" w:rsidRPr="007D3D4F" w:rsidRDefault="00B61F4B" w:rsidP="004C072F">
      <w:pPr>
        <w:spacing w:before="120" w:after="120" w:line="240" w:lineRule="auto"/>
        <w:contextualSpacing/>
        <w:rPr>
          <w:rFonts w:ascii="Times New Roman" w:hAnsi="Times New Roman" w:cs="Times New Roman"/>
        </w:rPr>
      </w:pPr>
    </w:p>
    <w:p w14:paraId="7EB3D01E" w14:textId="6577C2CE" w:rsidR="00B61F4B" w:rsidRPr="007D3D4F" w:rsidRDefault="00B61F4B" w:rsidP="004C072F">
      <w:pPr>
        <w:spacing w:before="120" w:after="120" w:line="240" w:lineRule="auto"/>
        <w:contextualSpacing/>
        <w:rPr>
          <w:rFonts w:ascii="Times New Roman" w:hAnsi="Times New Roman" w:cs="Times New Roman"/>
        </w:rPr>
      </w:pPr>
    </w:p>
    <w:p w14:paraId="7388BB43" w14:textId="4A9079E7" w:rsidR="00B61F4B" w:rsidRPr="007D3D4F" w:rsidRDefault="00B61F4B" w:rsidP="004C072F">
      <w:pPr>
        <w:spacing w:before="120" w:after="120" w:line="240" w:lineRule="auto"/>
        <w:contextualSpacing/>
        <w:rPr>
          <w:rFonts w:ascii="Times New Roman" w:hAnsi="Times New Roman" w:cs="Times New Roman"/>
        </w:rPr>
      </w:pPr>
    </w:p>
    <w:p w14:paraId="07A8E663" w14:textId="524A828C" w:rsidR="00B61F4B" w:rsidRPr="007D3D4F" w:rsidRDefault="00B61F4B" w:rsidP="004C072F">
      <w:pPr>
        <w:spacing w:before="120" w:after="120" w:line="240" w:lineRule="auto"/>
        <w:contextualSpacing/>
        <w:rPr>
          <w:rFonts w:ascii="Times New Roman" w:hAnsi="Times New Roman" w:cs="Times New Roman"/>
        </w:rPr>
      </w:pPr>
    </w:p>
    <w:p w14:paraId="5A943393" w14:textId="4FC53029" w:rsidR="00B61F4B" w:rsidRPr="007D3D4F" w:rsidRDefault="00B61F4B" w:rsidP="004C072F">
      <w:pPr>
        <w:spacing w:before="120" w:after="120" w:line="240" w:lineRule="auto"/>
        <w:contextualSpacing/>
        <w:rPr>
          <w:rFonts w:ascii="Times New Roman" w:hAnsi="Times New Roman" w:cs="Times New Roman"/>
        </w:rPr>
      </w:pPr>
    </w:p>
    <w:p w14:paraId="3A729574" w14:textId="77777777" w:rsidR="00B61F4B" w:rsidRPr="007D3D4F" w:rsidRDefault="00B61F4B" w:rsidP="004C072F">
      <w:pPr>
        <w:spacing w:before="120" w:after="120" w:line="240" w:lineRule="auto"/>
        <w:contextualSpacing/>
        <w:rPr>
          <w:rFonts w:ascii="Times New Roman" w:hAnsi="Times New Roman" w:cs="Times New Roman"/>
        </w:rPr>
      </w:pPr>
    </w:p>
    <w:p w14:paraId="176C82EF" w14:textId="3A391209" w:rsidR="00B61F4B" w:rsidRPr="007D3D4F" w:rsidRDefault="00B61F4B" w:rsidP="004C072F">
      <w:pPr>
        <w:spacing w:before="120" w:after="120" w:line="240" w:lineRule="auto"/>
        <w:contextualSpacing/>
        <w:rPr>
          <w:rFonts w:ascii="Times New Roman" w:hAnsi="Times New Roman" w:cs="Times New Roman"/>
        </w:rPr>
      </w:pPr>
    </w:p>
    <w:p w14:paraId="2D17C62C" w14:textId="20DF95BA" w:rsidR="00B61F4B" w:rsidRPr="007D3D4F" w:rsidRDefault="00B61F4B" w:rsidP="004C072F">
      <w:pPr>
        <w:spacing w:before="120" w:after="120" w:line="240" w:lineRule="auto"/>
        <w:contextualSpacing/>
        <w:rPr>
          <w:rFonts w:ascii="Times New Roman" w:hAnsi="Times New Roman" w:cs="Times New Roman"/>
        </w:rPr>
      </w:pPr>
    </w:p>
    <w:p w14:paraId="01682403" w14:textId="4295F064" w:rsidR="00B61F4B" w:rsidRPr="007D3D4F" w:rsidRDefault="00B61F4B" w:rsidP="004C072F">
      <w:pPr>
        <w:spacing w:before="120" w:after="120" w:line="240" w:lineRule="auto"/>
        <w:contextualSpacing/>
        <w:rPr>
          <w:rFonts w:ascii="Times New Roman" w:hAnsi="Times New Roman" w:cs="Times New Roman"/>
        </w:rPr>
      </w:pPr>
    </w:p>
    <w:p w14:paraId="3B028891" w14:textId="72BF6595" w:rsidR="00B61F4B" w:rsidRPr="007D3D4F" w:rsidRDefault="00B61F4B" w:rsidP="004C072F">
      <w:pPr>
        <w:spacing w:before="120" w:after="120" w:line="240" w:lineRule="auto"/>
        <w:contextualSpacing/>
        <w:rPr>
          <w:rFonts w:ascii="Times New Roman" w:hAnsi="Times New Roman" w:cs="Times New Roman"/>
        </w:rPr>
      </w:pPr>
    </w:p>
    <w:p w14:paraId="42C12486" w14:textId="24936B9B" w:rsidR="00B61F4B" w:rsidRPr="007D3D4F" w:rsidRDefault="00B61F4B" w:rsidP="004C072F">
      <w:pPr>
        <w:spacing w:before="120" w:after="120" w:line="240" w:lineRule="auto"/>
        <w:contextualSpacing/>
        <w:rPr>
          <w:rFonts w:ascii="Times New Roman" w:hAnsi="Times New Roman" w:cs="Times New Roman"/>
        </w:rPr>
      </w:pPr>
    </w:p>
    <w:p w14:paraId="3864E5D0" w14:textId="22297798" w:rsidR="00B61F4B" w:rsidRPr="007D3D4F" w:rsidRDefault="00B61F4B" w:rsidP="004C072F">
      <w:pPr>
        <w:spacing w:before="120" w:after="120" w:line="240" w:lineRule="auto"/>
        <w:contextualSpacing/>
        <w:rPr>
          <w:rFonts w:ascii="Times New Roman" w:hAnsi="Times New Roman" w:cs="Times New Roman"/>
        </w:rPr>
      </w:pPr>
    </w:p>
    <w:p w14:paraId="23740FD5" w14:textId="7F4BFDD7" w:rsidR="00B61F4B" w:rsidRPr="007D3D4F" w:rsidRDefault="00B61F4B" w:rsidP="004C072F">
      <w:pPr>
        <w:spacing w:before="120" w:after="120" w:line="240" w:lineRule="auto"/>
        <w:contextualSpacing/>
        <w:rPr>
          <w:rFonts w:ascii="Times New Roman" w:hAnsi="Times New Roman" w:cs="Times New Roman"/>
        </w:rPr>
      </w:pPr>
    </w:p>
    <w:p w14:paraId="51D5BB8A" w14:textId="031D1152" w:rsidR="00B61F4B" w:rsidRPr="007D3D4F" w:rsidRDefault="00B61F4B" w:rsidP="004C072F">
      <w:pPr>
        <w:spacing w:before="120" w:after="120" w:line="240" w:lineRule="auto"/>
        <w:contextualSpacing/>
        <w:rPr>
          <w:rFonts w:ascii="Times New Roman" w:hAnsi="Times New Roman" w:cs="Times New Roman"/>
        </w:rPr>
      </w:pPr>
    </w:p>
    <w:p w14:paraId="0023CD53" w14:textId="784FAF68" w:rsidR="00B61F4B" w:rsidRPr="007D3D4F" w:rsidRDefault="00B61F4B" w:rsidP="004C072F">
      <w:pPr>
        <w:spacing w:before="120" w:after="120" w:line="240" w:lineRule="auto"/>
        <w:contextualSpacing/>
        <w:rPr>
          <w:rFonts w:ascii="Times New Roman" w:hAnsi="Times New Roman" w:cs="Times New Roman"/>
        </w:rPr>
      </w:pPr>
    </w:p>
    <w:p w14:paraId="2B9D21C9" w14:textId="7BC50201" w:rsidR="00B61F4B" w:rsidRPr="007D3D4F" w:rsidRDefault="00B61F4B" w:rsidP="004C072F">
      <w:pPr>
        <w:spacing w:before="120" w:after="120" w:line="240" w:lineRule="auto"/>
        <w:contextualSpacing/>
        <w:rPr>
          <w:rFonts w:ascii="Times New Roman" w:hAnsi="Times New Roman" w:cs="Times New Roman"/>
        </w:rPr>
      </w:pPr>
    </w:p>
    <w:p w14:paraId="35B8343D" w14:textId="0B615012" w:rsidR="00B61F4B" w:rsidRPr="007D3D4F" w:rsidRDefault="00B61F4B" w:rsidP="004C072F">
      <w:pPr>
        <w:spacing w:before="120" w:after="120" w:line="240" w:lineRule="auto"/>
        <w:contextualSpacing/>
        <w:rPr>
          <w:rFonts w:ascii="Times New Roman" w:hAnsi="Times New Roman" w:cs="Times New Roman"/>
        </w:rPr>
      </w:pPr>
    </w:p>
    <w:p w14:paraId="2B56079C" w14:textId="66657763" w:rsidR="00B61F4B" w:rsidRPr="007D3D4F" w:rsidRDefault="00B61F4B" w:rsidP="004C072F">
      <w:pPr>
        <w:spacing w:before="120" w:after="120" w:line="240" w:lineRule="auto"/>
        <w:contextualSpacing/>
        <w:rPr>
          <w:rFonts w:ascii="Times New Roman" w:hAnsi="Times New Roman" w:cs="Times New Roman"/>
        </w:rPr>
      </w:pPr>
    </w:p>
    <w:p w14:paraId="15FBB98C" w14:textId="3557E9E3" w:rsidR="00B61F4B" w:rsidRPr="007D3D4F" w:rsidRDefault="00B61F4B" w:rsidP="004C072F">
      <w:pPr>
        <w:spacing w:before="120" w:after="120" w:line="240" w:lineRule="auto"/>
        <w:contextualSpacing/>
        <w:rPr>
          <w:rFonts w:ascii="Times New Roman" w:hAnsi="Times New Roman" w:cs="Times New Roman"/>
        </w:rPr>
      </w:pPr>
    </w:p>
    <w:p w14:paraId="18CD5B9F" w14:textId="6CAFD5BE" w:rsidR="00B61F4B" w:rsidRPr="007D3D4F" w:rsidRDefault="00B61F4B" w:rsidP="004C072F">
      <w:pPr>
        <w:spacing w:before="120" w:after="120" w:line="240" w:lineRule="auto"/>
        <w:contextualSpacing/>
        <w:rPr>
          <w:rFonts w:ascii="Times New Roman" w:hAnsi="Times New Roman" w:cs="Times New Roman"/>
        </w:rPr>
      </w:pPr>
    </w:p>
    <w:p w14:paraId="606B55D4" w14:textId="760D7A99" w:rsidR="00B61F4B" w:rsidRPr="007D3D4F" w:rsidRDefault="00B61F4B" w:rsidP="004C072F">
      <w:pPr>
        <w:spacing w:before="120" w:after="120" w:line="240" w:lineRule="auto"/>
        <w:contextualSpacing/>
        <w:rPr>
          <w:rFonts w:ascii="Times New Roman" w:hAnsi="Times New Roman" w:cs="Times New Roman"/>
        </w:rPr>
      </w:pPr>
    </w:p>
    <w:p w14:paraId="49809556" w14:textId="2829D827" w:rsidR="00B61F4B" w:rsidRPr="007D3D4F" w:rsidRDefault="008F18B6" w:rsidP="004C072F">
      <w:pPr>
        <w:spacing w:before="120" w:after="120" w:line="240" w:lineRule="auto"/>
        <w:contextualSpacing/>
        <w:rPr>
          <w:rFonts w:ascii="Times New Roman" w:hAnsi="Times New Roman" w:cs="Times New Roman"/>
        </w:rPr>
        <w:sectPr w:rsidR="00B61F4B" w:rsidRPr="007D3D4F" w:rsidSect="00E00447">
          <w:headerReference w:type="default" r:id="rId10"/>
          <w:pgSz w:w="12240" w:h="15840"/>
          <w:pgMar w:top="1440" w:right="1440" w:bottom="1440" w:left="1440" w:header="720" w:footer="720" w:gutter="0"/>
          <w:cols w:space="720"/>
          <w:docGrid w:linePitch="360"/>
        </w:sectPr>
      </w:pPr>
      <w:r w:rsidRPr="007D3D4F">
        <w:rPr>
          <w:rFonts w:ascii="Times New Roman" w:hAnsi="Times New Roman" w:cs="Times New Roman"/>
          <w:noProof/>
          <w:lang w:eastAsia="ro-RO"/>
        </w:rPr>
        <mc:AlternateContent>
          <mc:Choice Requires="wps">
            <w:drawing>
              <wp:anchor distT="0" distB="0" distL="114300" distR="114300" simplePos="0" relativeHeight="251727872" behindDoc="0" locked="0" layoutInCell="1" allowOverlap="1" wp14:anchorId="2834251B" wp14:editId="2904DF2F">
                <wp:simplePos x="0" y="0"/>
                <wp:positionH relativeFrom="column">
                  <wp:posOffset>-498764</wp:posOffset>
                </wp:positionH>
                <wp:positionV relativeFrom="paragraph">
                  <wp:posOffset>290244</wp:posOffset>
                </wp:positionV>
                <wp:extent cx="6626432" cy="1400175"/>
                <wp:effectExtent l="0" t="0" r="0" b="9525"/>
                <wp:wrapNone/>
                <wp:docPr id="543836306" name="Text Box 43"/>
                <wp:cNvGraphicFramePr/>
                <a:graphic xmlns:a="http://schemas.openxmlformats.org/drawingml/2006/main">
                  <a:graphicData uri="http://schemas.microsoft.com/office/word/2010/wordprocessingShape">
                    <wps:wsp>
                      <wps:cNvSpPr txBox="1"/>
                      <wps:spPr>
                        <a:xfrm>
                          <a:off x="0" y="0"/>
                          <a:ext cx="6626432" cy="1400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351A1B" w14:textId="5E5C688F" w:rsidR="00B22D58" w:rsidRPr="004C072F" w:rsidRDefault="004C072F">
                            <w:pPr>
                              <w:rPr>
                                <w:rFonts w:ascii="Times New Roman" w:hAnsi="Times New Roman" w:cs="Times New Roman"/>
                                <w:color w:val="FFFFFF" w:themeColor="background1"/>
                                <w:sz w:val="56"/>
                                <w:szCs w:val="56"/>
                              </w:rPr>
                            </w:pPr>
                            <w:r w:rsidRPr="004C072F">
                              <w:rPr>
                                <w:rFonts w:ascii="Times New Roman" w:hAnsi="Times New Roman" w:cs="Times New Roman"/>
                                <w:color w:val="FFFFFF" w:themeColor="background1"/>
                                <w:sz w:val="56"/>
                                <w:szCs w:val="56"/>
                              </w:rPr>
                              <w:t>ANEXE-</w:t>
                            </w:r>
                            <w:r w:rsidRPr="004C072F">
                              <w:rPr>
                                <w:rFonts w:ascii="Times New Roman" w:hAnsi="Times New Roman" w:cs="Times New Roman"/>
                                <w:sz w:val="18"/>
                                <w:szCs w:val="18"/>
                              </w:rPr>
                              <w:t xml:space="preserve"> </w:t>
                            </w:r>
                            <w:r w:rsidRPr="004C072F">
                              <w:rPr>
                                <w:rFonts w:ascii="Times New Roman" w:hAnsi="Times New Roman" w:cs="Times New Roman"/>
                                <w:color w:val="FFFFFF" w:themeColor="background1"/>
                                <w:sz w:val="56"/>
                                <w:szCs w:val="56"/>
                              </w:rPr>
                              <w:t>PARTE CONSTITUTIVĂ A STRATEGIEI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34251B" id="_x0000_t202" coordsize="21600,21600" o:spt="202" path="m,l,21600r21600,l21600,xe">
                <v:stroke joinstyle="miter"/>
                <v:path gradientshapeok="t" o:connecttype="rect"/>
              </v:shapetype>
              <v:shape id="Text Box 43" o:spid="_x0000_s1026" type="#_x0000_t202" style="position:absolute;margin-left:-39.25pt;margin-top:22.85pt;width:521.75pt;height:11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" filled="f" stroked="f">
                <v:textbox>
                  <w:txbxContent>
                    <w:p w14:paraId="10351A1B" w14:textId="5E5C688F" w:rsidR="00B22D58" w:rsidRPr="004C072F" w:rsidRDefault="004C072F">
                      <w:pPr>
                        <w:rPr>
                          <w:rFonts w:ascii="Times New Roman" w:hAnsi="Times New Roman" w:cs="Times New Roman"/>
                          <w:color w:val="FFFFFF" w:themeColor="background1"/>
                          <w:sz w:val="56"/>
                          <w:szCs w:val="56"/>
                        </w:rPr>
                      </w:pPr>
                      <w:r w:rsidRPr="004C072F">
                        <w:rPr>
                          <w:rFonts w:ascii="Times New Roman" w:hAnsi="Times New Roman" w:cs="Times New Roman"/>
                          <w:color w:val="FFFFFF" w:themeColor="background1"/>
                          <w:sz w:val="56"/>
                          <w:szCs w:val="56"/>
                        </w:rPr>
                        <w:t>ANEXE-</w:t>
                      </w:r>
                      <w:r w:rsidRPr="004C072F">
                        <w:rPr>
                          <w:rFonts w:ascii="Times New Roman" w:hAnsi="Times New Roman" w:cs="Times New Roman"/>
                          <w:sz w:val="18"/>
                          <w:szCs w:val="18"/>
                        </w:rPr>
                        <w:t xml:space="preserve"> </w:t>
                      </w:r>
                      <w:r w:rsidRPr="004C072F">
                        <w:rPr>
                          <w:rFonts w:ascii="Times New Roman" w:hAnsi="Times New Roman" w:cs="Times New Roman"/>
                          <w:color w:val="FFFFFF" w:themeColor="background1"/>
                          <w:sz w:val="56"/>
                          <w:szCs w:val="56"/>
                        </w:rPr>
                        <w:t>PARTE CONSTITUTIVĂ A STRATEGIEI</w:t>
                      </w:r>
                    </w:p>
                  </w:txbxContent>
                </v:textbox>
              </v:shape>
            </w:pict>
          </mc:Fallback>
        </mc:AlternateContent>
      </w:r>
    </w:p>
    <w:p w14:paraId="2D0B0ABD" w14:textId="77777777" w:rsidR="004C072F" w:rsidRPr="007D3D4F" w:rsidRDefault="00E70AB1" w:rsidP="004C072F">
      <w:pPr>
        <w:pStyle w:val="Smn"/>
        <w:contextualSpacing/>
        <w:jc w:val="center"/>
        <w:rPr>
          <w:rFonts w:ascii="Times New Roman" w:hAnsi="Times New Roman" w:cs="Times New Roman"/>
          <w:b/>
          <w:bCs/>
          <w:color w:val="auto"/>
          <w:sz w:val="32"/>
          <w:szCs w:val="32"/>
        </w:rPr>
      </w:pPr>
      <w:bookmarkStart w:id="1" w:name="_Toc201653604"/>
      <w:bookmarkStart w:id="2" w:name="_Toc201653650"/>
      <w:r w:rsidRPr="007D3D4F">
        <w:rPr>
          <w:rFonts w:ascii="Times New Roman" w:hAnsi="Times New Roman" w:cs="Times New Roman"/>
          <w:b/>
          <w:bCs/>
          <w:color w:val="auto"/>
          <w:sz w:val="32"/>
          <w:szCs w:val="32"/>
        </w:rPr>
        <w:lastRenderedPageBreak/>
        <w:t>ANEXA 1</w:t>
      </w:r>
    </w:p>
    <w:p w14:paraId="015A017F" w14:textId="6D09D3B0" w:rsidR="00E70AB1" w:rsidRPr="007D3D4F" w:rsidRDefault="00E70AB1" w:rsidP="004C072F">
      <w:pPr>
        <w:pStyle w:val="Smn"/>
        <w:contextualSpacing/>
        <w:jc w:val="center"/>
        <w:rPr>
          <w:rFonts w:ascii="Times New Roman" w:hAnsi="Times New Roman" w:cs="Times New Roman"/>
          <w:b/>
          <w:bCs/>
          <w:color w:val="auto"/>
          <w:sz w:val="32"/>
          <w:szCs w:val="32"/>
        </w:rPr>
      </w:pPr>
      <w:r w:rsidRPr="007D3D4F">
        <w:rPr>
          <w:rFonts w:ascii="Times New Roman" w:hAnsi="Times New Roman" w:cs="Times New Roman"/>
          <w:b/>
          <w:bCs/>
          <w:color w:val="auto"/>
          <w:sz w:val="32"/>
          <w:szCs w:val="32"/>
        </w:rPr>
        <w:t>CADRUL GENERAL DE REFERINȚĂ</w:t>
      </w:r>
    </w:p>
    <w:p w14:paraId="3098755D" w14:textId="77777777" w:rsidR="004C072F" w:rsidRPr="007D3D4F" w:rsidRDefault="004C072F" w:rsidP="004C072F">
      <w:pPr>
        <w:pStyle w:val="Smn"/>
        <w:contextualSpacing/>
        <w:rPr>
          <w:rFonts w:ascii="Times New Roman" w:hAnsi="Times New Roman" w:cs="Times New Roman"/>
          <w:b/>
          <w:bCs/>
          <w:color w:val="auto"/>
          <w:sz w:val="22"/>
          <w:szCs w:val="22"/>
        </w:rPr>
      </w:pPr>
    </w:p>
    <w:p w14:paraId="272065B5" w14:textId="01E1E74E" w:rsidR="00AF66BB" w:rsidRPr="007D3D4F" w:rsidRDefault="00E70AB1" w:rsidP="00D81598">
      <w:pPr>
        <w:pStyle w:val="Smn"/>
        <w:numPr>
          <w:ilvl w:val="0"/>
          <w:numId w:val="28"/>
        </w:numPr>
        <w:contextualSpacing/>
        <w:rPr>
          <w:rFonts w:ascii="Times New Roman" w:hAnsi="Times New Roman" w:cs="Times New Roman"/>
          <w:i/>
          <w:iCs/>
          <w:sz w:val="22"/>
          <w:szCs w:val="22"/>
        </w:rPr>
      </w:pPr>
      <w:r w:rsidRPr="007D3D4F">
        <w:rPr>
          <w:rFonts w:ascii="Times New Roman" w:hAnsi="Times New Roman" w:cs="Times New Roman"/>
          <w:sz w:val="22"/>
          <w:szCs w:val="22"/>
        </w:rPr>
        <w:t xml:space="preserve">Cadrul general de referință – </w:t>
      </w:r>
      <w:r w:rsidRPr="007D3D4F">
        <w:rPr>
          <w:rFonts w:ascii="Times New Roman" w:hAnsi="Times New Roman" w:cs="Times New Roman"/>
          <w:i/>
          <w:iCs/>
          <w:sz w:val="22"/>
          <w:szCs w:val="22"/>
        </w:rPr>
        <w:t>Capitolul 2,</w:t>
      </w:r>
      <w:r w:rsidRPr="007D3D4F">
        <w:rPr>
          <w:rFonts w:ascii="Times New Roman" w:hAnsi="Times New Roman" w:cs="Times New Roman"/>
          <w:sz w:val="22"/>
          <w:szCs w:val="22"/>
        </w:rPr>
        <w:t xml:space="preserve"> </w:t>
      </w:r>
      <w:r w:rsidRPr="007D3D4F">
        <w:rPr>
          <w:rFonts w:ascii="Times New Roman" w:hAnsi="Times New Roman" w:cs="Times New Roman"/>
          <w:i/>
          <w:iCs/>
          <w:sz w:val="22"/>
          <w:szCs w:val="22"/>
        </w:rPr>
        <w:t>subcapitolele 2.1.Cadrul legal național și european,</w:t>
      </w:r>
      <w:r w:rsidRPr="007D3D4F">
        <w:rPr>
          <w:rFonts w:ascii="Times New Roman" w:hAnsi="Times New Roman" w:cs="Times New Roman"/>
          <w:sz w:val="22"/>
          <w:szCs w:val="22"/>
        </w:rPr>
        <w:t xml:space="preserve"> </w:t>
      </w:r>
      <w:r w:rsidRPr="007D3D4F">
        <w:rPr>
          <w:rFonts w:ascii="Times New Roman" w:hAnsi="Times New Roman" w:cs="Times New Roman"/>
          <w:i/>
          <w:iCs/>
          <w:sz w:val="22"/>
          <w:szCs w:val="22"/>
        </w:rPr>
        <w:t>2.2. Evoluții ale politicilor europene în transport durabil (2007–prezent), 2.3. Proiecte relevante derulate la nivel național și local în transporturi (2007–prezent)</w:t>
      </w:r>
      <w:bookmarkEnd w:id="1"/>
    </w:p>
    <w:p w14:paraId="637D83AA" w14:textId="74EEA502" w:rsidR="00E70AB1" w:rsidRPr="007D3D4F" w:rsidRDefault="00AF66BB" w:rsidP="004C072F">
      <w:pPr>
        <w:pStyle w:val="Titlu2"/>
        <w:spacing w:before="120" w:after="120" w:line="240" w:lineRule="auto"/>
        <w:contextualSpacing/>
        <w:rPr>
          <w:rFonts w:ascii="Times New Roman" w:hAnsi="Times New Roman" w:cs="Times New Roman"/>
          <w:b/>
          <w:bCs/>
          <w:color w:val="auto"/>
          <w:sz w:val="22"/>
          <w:szCs w:val="22"/>
        </w:rPr>
      </w:pPr>
      <w:bookmarkStart w:id="3" w:name="_Toc201653605"/>
      <w:r w:rsidRPr="007D3D4F">
        <w:rPr>
          <w:rFonts w:ascii="Times New Roman" w:hAnsi="Times New Roman" w:cs="Times New Roman"/>
          <w:b/>
          <w:bCs/>
          <w:color w:val="auto"/>
          <w:sz w:val="22"/>
          <w:szCs w:val="22"/>
        </w:rPr>
        <w:t>2.1. Cadrul legal național și european</w:t>
      </w:r>
      <w:bookmarkEnd w:id="3"/>
    </w:p>
    <w:p w14:paraId="6413FF76"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În tabelul de mai jos sunt trasate principalele repere legislative adoptate de Uniunea Europeană în perioada 2007–2023, cu relevanță directă pentru sectorul transporturilor.</w:t>
      </w:r>
    </w:p>
    <w:p w14:paraId="6E3C3931" w14:textId="3568DA1E"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xml:space="preserve">: Cadrul legislativ comunitar privind politica în domeniul transportului </w:t>
      </w:r>
    </w:p>
    <w:tbl>
      <w:tblPr>
        <w:tblStyle w:val="TabelgrilLuminos"/>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969"/>
        <w:gridCol w:w="6242"/>
        <w:gridCol w:w="1133"/>
      </w:tblGrid>
      <w:tr w:rsidR="00AF66BB" w:rsidRPr="007D3D4F" w14:paraId="23CE12D2" w14:textId="77777777" w:rsidTr="00A61497">
        <w:trPr>
          <w:tblHeader/>
        </w:trPr>
        <w:tc>
          <w:tcPr>
            <w:tcW w:w="0" w:type="auto"/>
            <w:shd w:val="clear" w:color="auto" w:fill="3B3838" w:themeFill="background2" w:themeFillShade="40"/>
            <w:vAlign w:val="center"/>
            <w:hideMark/>
          </w:tcPr>
          <w:p w14:paraId="176AF926" w14:textId="77777777" w:rsidR="00AF66BB" w:rsidRPr="007D3D4F" w:rsidRDefault="00AF66BB" w:rsidP="004C072F">
            <w:pPr>
              <w:pStyle w:val="Listparagraf"/>
              <w:spacing w:before="120" w:after="120"/>
              <w:ind w:left="-107"/>
              <w:jc w:val="center"/>
              <w:rPr>
                <w:rFonts w:ascii="Times New Roman" w:hAnsi="Times New Roman" w:cs="Times New Roman"/>
                <w:b/>
                <w:bCs/>
                <w:color w:val="000000" w:themeColor="text1"/>
                <w:sz w:val="20"/>
                <w:szCs w:val="20"/>
                <w:highlight w:val="yellow"/>
              </w:rPr>
            </w:pPr>
            <w:r w:rsidRPr="007D3D4F">
              <w:rPr>
                <w:rFonts w:ascii="Times New Roman" w:hAnsi="Times New Roman" w:cs="Times New Roman"/>
                <w:b/>
                <w:bCs/>
                <w:color w:val="FFFFFF" w:themeColor="background1"/>
                <w:spacing w:val="-6"/>
                <w:sz w:val="20"/>
                <w:szCs w:val="20"/>
              </w:rPr>
              <w:t>Domeniu</w:t>
            </w:r>
          </w:p>
        </w:tc>
        <w:tc>
          <w:tcPr>
            <w:tcW w:w="6242" w:type="dxa"/>
            <w:shd w:val="clear" w:color="auto" w:fill="3B3838" w:themeFill="background2" w:themeFillShade="40"/>
            <w:vAlign w:val="center"/>
            <w:hideMark/>
          </w:tcPr>
          <w:p w14:paraId="7DE4F374" w14:textId="77777777" w:rsidR="00AF66BB" w:rsidRPr="007D3D4F" w:rsidRDefault="00AF66BB" w:rsidP="004C072F">
            <w:pPr>
              <w:pStyle w:val="Listparagraf"/>
              <w:spacing w:before="120" w:after="120"/>
              <w:ind w:left="-154"/>
              <w:jc w:val="center"/>
              <w:rPr>
                <w:rFonts w:ascii="Times New Roman" w:hAnsi="Times New Roman" w:cs="Times New Roman"/>
                <w:b/>
                <w:bCs/>
                <w:color w:val="000000" w:themeColor="text1"/>
                <w:sz w:val="20"/>
                <w:szCs w:val="20"/>
                <w:highlight w:val="yellow"/>
              </w:rPr>
            </w:pPr>
            <w:r w:rsidRPr="007D3D4F">
              <w:rPr>
                <w:rFonts w:ascii="Times New Roman" w:hAnsi="Times New Roman" w:cs="Times New Roman"/>
                <w:b/>
                <w:bCs/>
                <w:color w:val="FFFFFF" w:themeColor="background1"/>
                <w:spacing w:val="-6"/>
                <w:sz w:val="20"/>
                <w:szCs w:val="20"/>
              </w:rPr>
              <w:t>Acte normative UE</w:t>
            </w:r>
          </w:p>
        </w:tc>
        <w:tc>
          <w:tcPr>
            <w:tcW w:w="1133" w:type="dxa"/>
            <w:shd w:val="clear" w:color="auto" w:fill="3B3838" w:themeFill="background2" w:themeFillShade="40"/>
            <w:vAlign w:val="center"/>
            <w:hideMark/>
          </w:tcPr>
          <w:p w14:paraId="535CA260" w14:textId="77777777" w:rsidR="00AF66BB" w:rsidRPr="007D3D4F" w:rsidRDefault="00AF66BB" w:rsidP="004C072F">
            <w:pPr>
              <w:pStyle w:val="Listparagraf"/>
              <w:spacing w:before="120" w:after="120"/>
              <w:ind w:left="0"/>
              <w:jc w:val="center"/>
              <w:rPr>
                <w:rFonts w:ascii="Times New Roman" w:hAnsi="Times New Roman" w:cs="Times New Roman"/>
                <w:b/>
                <w:bCs/>
                <w:color w:val="000000" w:themeColor="text1"/>
                <w:sz w:val="20"/>
                <w:szCs w:val="20"/>
                <w:highlight w:val="yellow"/>
              </w:rPr>
            </w:pPr>
            <w:r w:rsidRPr="007D3D4F">
              <w:rPr>
                <w:rFonts w:ascii="Times New Roman" w:hAnsi="Times New Roman" w:cs="Times New Roman"/>
                <w:b/>
                <w:bCs/>
                <w:color w:val="FFFFFF" w:themeColor="background1"/>
                <w:spacing w:val="-6"/>
                <w:sz w:val="20"/>
                <w:szCs w:val="20"/>
              </w:rPr>
              <w:t>Statut (UE)</w:t>
            </w:r>
          </w:p>
        </w:tc>
      </w:tr>
      <w:tr w:rsidR="00AF66BB" w:rsidRPr="007D3D4F" w14:paraId="486CBBEA" w14:textId="77777777" w:rsidTr="00A61497">
        <w:tc>
          <w:tcPr>
            <w:tcW w:w="0" w:type="auto"/>
            <w:shd w:val="clear" w:color="auto" w:fill="F2F2F2" w:themeFill="background1" w:themeFillShade="F2"/>
            <w:vAlign w:val="center"/>
            <w:hideMark/>
          </w:tcPr>
          <w:p w14:paraId="33B4C2E1"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Rutier - Omologare</w:t>
            </w:r>
          </w:p>
        </w:tc>
        <w:tc>
          <w:tcPr>
            <w:tcW w:w="6242" w:type="dxa"/>
            <w:shd w:val="clear" w:color="auto" w:fill="F2F2F2" w:themeFill="background1" w:themeFillShade="F2"/>
            <w:vAlign w:val="center"/>
            <w:hideMark/>
          </w:tcPr>
          <w:p w14:paraId="38A4FB3E"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Regulamentul (UE) 2018/858 al Parlamentului European și al Consiliului din 30 mai 2018 privind omologarea și supravegherea pieței autovehiculelor și remorcilor acestora, precum și ale sistemelor, componentelor și unităților tehnice separate destinate vehiculelor respective, de modificare a Regulamentelor (CE) nr. 715/2007 și (CE) nr. 595/2009 și de abrogare a Directivei 2007/46/CE</w:t>
            </w:r>
          </w:p>
        </w:tc>
        <w:tc>
          <w:tcPr>
            <w:tcW w:w="1133" w:type="dxa"/>
            <w:shd w:val="clear" w:color="auto" w:fill="F2F2F2" w:themeFill="background1" w:themeFillShade="F2"/>
            <w:vAlign w:val="center"/>
            <w:hideMark/>
          </w:tcPr>
          <w:p w14:paraId="2C475AA2"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7191C806" w14:textId="77777777" w:rsidTr="00A61497">
        <w:tc>
          <w:tcPr>
            <w:tcW w:w="0" w:type="auto"/>
            <w:shd w:val="clear" w:color="auto" w:fill="F2F2F2" w:themeFill="background1" w:themeFillShade="F2"/>
            <w:vAlign w:val="center"/>
            <w:hideMark/>
          </w:tcPr>
          <w:p w14:paraId="0E71C94B"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Rutier - Emisii CO₂</w:t>
            </w:r>
          </w:p>
        </w:tc>
        <w:tc>
          <w:tcPr>
            <w:tcW w:w="6242" w:type="dxa"/>
            <w:shd w:val="clear" w:color="auto" w:fill="F2F2F2" w:themeFill="background1" w:themeFillShade="F2"/>
            <w:vAlign w:val="center"/>
            <w:hideMark/>
          </w:tcPr>
          <w:p w14:paraId="3E43E816"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Regulamentul (UE) 2023/851 al Parlamentului European și al Consiliului din 19 aprilie 2023 de modificare a Regulamentului (UE) 2019/631 în ceea ce privește consolidarea standardelor de performanță privind emisiile de CO2 pentru autoturismele noi și pentru vehiculele utilitare ușoare noi, în conformitate cu obiectivele climatice mai ambițioase ale Uniunii</w:t>
            </w:r>
          </w:p>
        </w:tc>
        <w:tc>
          <w:tcPr>
            <w:tcW w:w="1133" w:type="dxa"/>
            <w:shd w:val="clear" w:color="auto" w:fill="F2F2F2" w:themeFill="background1" w:themeFillShade="F2"/>
            <w:vAlign w:val="center"/>
            <w:hideMark/>
          </w:tcPr>
          <w:p w14:paraId="4E2B636A"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69059A7B" w14:textId="77777777" w:rsidTr="00A61497">
        <w:tc>
          <w:tcPr>
            <w:tcW w:w="0" w:type="auto"/>
            <w:shd w:val="clear" w:color="auto" w:fill="F2F2F2" w:themeFill="background1" w:themeFillShade="F2"/>
            <w:vAlign w:val="center"/>
            <w:hideMark/>
          </w:tcPr>
          <w:p w14:paraId="00B38B50"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Rutier - Tahografe</w:t>
            </w:r>
          </w:p>
        </w:tc>
        <w:tc>
          <w:tcPr>
            <w:tcW w:w="6242" w:type="dxa"/>
            <w:shd w:val="clear" w:color="auto" w:fill="F2F2F2" w:themeFill="background1" w:themeFillShade="F2"/>
            <w:vAlign w:val="center"/>
            <w:hideMark/>
          </w:tcPr>
          <w:p w14:paraId="02F43CBB"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Regulamentul (UE) nr. 165/2014 al Parlamentului European și al Consiliului din 4 februarie 2014 privind tahografele în transportul rutier, de abrogare a Regulamentului (CEE) nr. 3821/85 al Consiliului privind aparatura de înregistrare în transportul rutier și de modificare a Regulamentului (CE) nr. 561/2006 al Parlamentului European și al Consiliului privind armonizarea anumitor dispoziții ale legislației sociale în domeniul transporturilor rutiere</w:t>
            </w:r>
          </w:p>
        </w:tc>
        <w:tc>
          <w:tcPr>
            <w:tcW w:w="1133" w:type="dxa"/>
            <w:shd w:val="clear" w:color="auto" w:fill="F2F2F2" w:themeFill="background1" w:themeFillShade="F2"/>
            <w:vAlign w:val="center"/>
            <w:hideMark/>
          </w:tcPr>
          <w:p w14:paraId="6ECA7C0B"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6BD504E6" w14:textId="77777777" w:rsidTr="00A61497">
        <w:tc>
          <w:tcPr>
            <w:tcW w:w="0" w:type="auto"/>
            <w:shd w:val="clear" w:color="auto" w:fill="F2F2F2" w:themeFill="background1" w:themeFillShade="F2"/>
            <w:vAlign w:val="center"/>
            <w:hideMark/>
          </w:tcPr>
          <w:p w14:paraId="1704422B"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Rutier - Siguranță rutieră</w:t>
            </w:r>
          </w:p>
        </w:tc>
        <w:tc>
          <w:tcPr>
            <w:tcW w:w="6242" w:type="dxa"/>
            <w:shd w:val="clear" w:color="auto" w:fill="F2F2F2" w:themeFill="background1" w:themeFillShade="F2"/>
            <w:vAlign w:val="center"/>
            <w:hideMark/>
          </w:tcPr>
          <w:p w14:paraId="196B2B2A"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Directiva  (UE) 2019/1936 a Parlamentului European și a Consiliului din 23 octombrie 2019 de modificare a Directivei 2008/96/CE privind gestionarea siguranței infrastructurii rutiere</w:t>
            </w:r>
          </w:p>
        </w:tc>
        <w:tc>
          <w:tcPr>
            <w:tcW w:w="1133" w:type="dxa"/>
            <w:shd w:val="clear" w:color="auto" w:fill="F2F2F2" w:themeFill="background1" w:themeFillShade="F2"/>
            <w:vAlign w:val="center"/>
            <w:hideMark/>
          </w:tcPr>
          <w:p w14:paraId="3F639EEF"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1ADDA473" w14:textId="77777777" w:rsidTr="00A61497">
        <w:tc>
          <w:tcPr>
            <w:tcW w:w="0" w:type="auto"/>
            <w:shd w:val="clear" w:color="auto" w:fill="F2F2F2" w:themeFill="background1" w:themeFillShade="F2"/>
            <w:vAlign w:val="center"/>
            <w:hideMark/>
          </w:tcPr>
          <w:p w14:paraId="6629CFBB"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Feroviar – Interoperabilitate</w:t>
            </w:r>
          </w:p>
        </w:tc>
        <w:tc>
          <w:tcPr>
            <w:tcW w:w="6242" w:type="dxa"/>
            <w:shd w:val="clear" w:color="auto" w:fill="F2F2F2" w:themeFill="background1" w:themeFillShade="F2"/>
            <w:vAlign w:val="center"/>
            <w:hideMark/>
          </w:tcPr>
          <w:p w14:paraId="6D133397"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Directiva (UE) 2016/797 a Parlamentului European și a Consiliului din 11 mai 2016 privind interoperabilitatea sistemului feroviar în Uniunea Europeană (reformare)</w:t>
            </w:r>
          </w:p>
        </w:tc>
        <w:tc>
          <w:tcPr>
            <w:tcW w:w="1133" w:type="dxa"/>
            <w:shd w:val="clear" w:color="auto" w:fill="F2F2F2" w:themeFill="background1" w:themeFillShade="F2"/>
            <w:vAlign w:val="center"/>
            <w:hideMark/>
          </w:tcPr>
          <w:p w14:paraId="14AF0EF6"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704F813B" w14:textId="77777777" w:rsidTr="00A61497">
        <w:tc>
          <w:tcPr>
            <w:tcW w:w="0" w:type="auto"/>
            <w:shd w:val="clear" w:color="auto" w:fill="F2F2F2" w:themeFill="background1" w:themeFillShade="F2"/>
            <w:vAlign w:val="center"/>
            <w:hideMark/>
          </w:tcPr>
          <w:p w14:paraId="43FA8247"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Feroviar – Siguranță feroviară</w:t>
            </w:r>
          </w:p>
        </w:tc>
        <w:tc>
          <w:tcPr>
            <w:tcW w:w="6242" w:type="dxa"/>
            <w:shd w:val="clear" w:color="auto" w:fill="F2F2F2" w:themeFill="background1" w:themeFillShade="F2"/>
            <w:vAlign w:val="center"/>
            <w:hideMark/>
          </w:tcPr>
          <w:p w14:paraId="7C64C7F7"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Directiva (UE) 2016/798 a Parlamentului European și a Consiliului din 11 mai 2016 privind siguranța feroviară (reformare)</w:t>
            </w:r>
          </w:p>
        </w:tc>
        <w:tc>
          <w:tcPr>
            <w:tcW w:w="1133" w:type="dxa"/>
            <w:shd w:val="clear" w:color="auto" w:fill="F2F2F2" w:themeFill="background1" w:themeFillShade="F2"/>
            <w:vAlign w:val="center"/>
            <w:hideMark/>
          </w:tcPr>
          <w:p w14:paraId="41583755"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523F0C85" w14:textId="77777777" w:rsidTr="00A61497">
        <w:tc>
          <w:tcPr>
            <w:tcW w:w="0" w:type="auto"/>
            <w:shd w:val="clear" w:color="auto" w:fill="F2F2F2" w:themeFill="background1" w:themeFillShade="F2"/>
            <w:vAlign w:val="center"/>
            <w:hideMark/>
          </w:tcPr>
          <w:p w14:paraId="351DADF8"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Aerian – Drepturi pasageri</w:t>
            </w:r>
          </w:p>
        </w:tc>
        <w:tc>
          <w:tcPr>
            <w:tcW w:w="6242" w:type="dxa"/>
            <w:shd w:val="clear" w:color="auto" w:fill="F2F2F2" w:themeFill="background1" w:themeFillShade="F2"/>
            <w:vAlign w:val="center"/>
            <w:hideMark/>
          </w:tcPr>
          <w:p w14:paraId="4EA7CE8C"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Regulamentul (CE) nr. 261/2004 al Parlamentului European și al Consiliului din 11 februarie 2004 de stabilire a unor norme comune în materie de compensare și de asistență a pasagerilor în eventualitatea refuzului la îmbarcare și anulării sau întârzierii prelungite a zborurilor și de abrogare a Regulamentului (CEE) nr. 295/91</w:t>
            </w:r>
          </w:p>
        </w:tc>
        <w:tc>
          <w:tcPr>
            <w:tcW w:w="1133" w:type="dxa"/>
            <w:shd w:val="clear" w:color="auto" w:fill="F2F2F2" w:themeFill="background1" w:themeFillShade="F2"/>
            <w:vAlign w:val="center"/>
            <w:hideMark/>
          </w:tcPr>
          <w:p w14:paraId="16ABA754"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2A54ADEE" w14:textId="77777777" w:rsidTr="00A61497">
        <w:tc>
          <w:tcPr>
            <w:tcW w:w="0" w:type="auto"/>
            <w:shd w:val="clear" w:color="auto" w:fill="F2F2F2" w:themeFill="background1" w:themeFillShade="F2"/>
            <w:vAlign w:val="center"/>
            <w:hideMark/>
          </w:tcPr>
          <w:p w14:paraId="57D01D56"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Aerian – Siguranță</w:t>
            </w:r>
          </w:p>
        </w:tc>
        <w:tc>
          <w:tcPr>
            <w:tcW w:w="6242" w:type="dxa"/>
            <w:shd w:val="clear" w:color="auto" w:fill="F2F2F2" w:themeFill="background1" w:themeFillShade="F2"/>
            <w:vAlign w:val="center"/>
            <w:hideMark/>
          </w:tcPr>
          <w:p w14:paraId="66024FF8"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 xml:space="preserve">Regulamentul (UE) 2018/1139 al Parlamentului European și al Consiliului din 4 iulie 2018 privind normele comune în domeniul aviației civile și de înființare a Agenției Uniunii Europene pentru Siguranța Aviației, de </w:t>
            </w:r>
            <w:r w:rsidRPr="007D3D4F">
              <w:rPr>
                <w:rFonts w:ascii="Times New Roman" w:hAnsi="Times New Roman" w:cs="Times New Roman"/>
                <w:color w:val="000000" w:themeColor="text1"/>
                <w:sz w:val="20"/>
                <w:szCs w:val="20"/>
              </w:rPr>
              <w:lastRenderedPageBreak/>
              <w:t>modificare a Regulamentelor (CE) nr. 2111/2005, (CE) nr. 1008/2008, (UE) nr. 996/2010, (UE) nr. 376/2014 și a Directivelor 2014/30/UE și 2014/53/UE ale Parlamentului European și ale Consiliului, precum și de abrogare a Regulamentelor (CE) nr. 552/2004 și (CE) nr. 216/2008 ale Parlamentului European și ale Consiliului și a Regulamentului (CEE) No 3922/91 al Consiliului</w:t>
            </w:r>
          </w:p>
        </w:tc>
        <w:tc>
          <w:tcPr>
            <w:tcW w:w="1133" w:type="dxa"/>
            <w:shd w:val="clear" w:color="auto" w:fill="F2F2F2" w:themeFill="background1" w:themeFillShade="F2"/>
            <w:vAlign w:val="center"/>
            <w:hideMark/>
          </w:tcPr>
          <w:p w14:paraId="01C2D43C"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lastRenderedPageBreak/>
              <w:t>În vigoare</w:t>
            </w:r>
          </w:p>
        </w:tc>
      </w:tr>
      <w:tr w:rsidR="00AF66BB" w:rsidRPr="007D3D4F" w14:paraId="550A011F" w14:textId="77777777" w:rsidTr="00A61497">
        <w:tc>
          <w:tcPr>
            <w:tcW w:w="0" w:type="auto"/>
            <w:shd w:val="clear" w:color="auto" w:fill="F2F2F2" w:themeFill="background1" w:themeFillShade="F2"/>
            <w:vAlign w:val="center"/>
            <w:hideMark/>
          </w:tcPr>
          <w:p w14:paraId="0DA15CC8"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Naval – Siguranță maritimă</w:t>
            </w:r>
          </w:p>
        </w:tc>
        <w:tc>
          <w:tcPr>
            <w:tcW w:w="6242" w:type="dxa"/>
            <w:shd w:val="clear" w:color="auto" w:fill="F2F2F2" w:themeFill="background1" w:themeFillShade="F2"/>
            <w:vAlign w:val="center"/>
            <w:hideMark/>
          </w:tcPr>
          <w:p w14:paraId="02711C8F"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Directiva (UE) 2016/1629 a Parlamentului European și a Consiliului din 14 septembrie 2016 de stabilire a cerințelor tehnice pentru navele de navigație interioară, de modificare a Directivei 2009/100/CE și de abrogare a Directivei 2006/87/CE</w:t>
            </w:r>
          </w:p>
        </w:tc>
        <w:tc>
          <w:tcPr>
            <w:tcW w:w="1133" w:type="dxa"/>
            <w:shd w:val="clear" w:color="auto" w:fill="F2F2F2" w:themeFill="background1" w:themeFillShade="F2"/>
            <w:vAlign w:val="center"/>
            <w:hideMark/>
          </w:tcPr>
          <w:p w14:paraId="48613A65"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40735AE0" w14:textId="77777777" w:rsidTr="00A61497">
        <w:trPr>
          <w:trHeight w:val="215"/>
        </w:trPr>
        <w:tc>
          <w:tcPr>
            <w:tcW w:w="0" w:type="auto"/>
            <w:shd w:val="clear" w:color="auto" w:fill="F2F2F2" w:themeFill="background1" w:themeFillShade="F2"/>
            <w:vAlign w:val="center"/>
            <w:hideMark/>
          </w:tcPr>
          <w:p w14:paraId="7BD9D73A"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Naval – Porturi</w:t>
            </w:r>
          </w:p>
        </w:tc>
        <w:tc>
          <w:tcPr>
            <w:tcW w:w="6242" w:type="dxa"/>
            <w:shd w:val="clear" w:color="auto" w:fill="F2F2F2" w:themeFill="background1" w:themeFillShade="F2"/>
            <w:vAlign w:val="center"/>
            <w:hideMark/>
          </w:tcPr>
          <w:p w14:paraId="6F22CB85"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Regulamentul (UE) 2019/1239 al Parlamentului European și al Consiliului din 20 iunie 2019 de stabilire a unui mediu aferent ghișeului unic european în domeniul maritim și de abrogare a Directivei 2010/65/UE</w:t>
            </w:r>
          </w:p>
        </w:tc>
        <w:tc>
          <w:tcPr>
            <w:tcW w:w="1133" w:type="dxa"/>
            <w:shd w:val="clear" w:color="auto" w:fill="F2F2F2" w:themeFill="background1" w:themeFillShade="F2"/>
            <w:vAlign w:val="center"/>
            <w:hideMark/>
          </w:tcPr>
          <w:p w14:paraId="24E6AC79"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34C773D0" w14:textId="77777777" w:rsidTr="00A61497">
        <w:tc>
          <w:tcPr>
            <w:tcW w:w="0" w:type="auto"/>
            <w:shd w:val="clear" w:color="auto" w:fill="F2F2F2" w:themeFill="background1" w:themeFillShade="F2"/>
            <w:vAlign w:val="center"/>
            <w:hideMark/>
          </w:tcPr>
          <w:p w14:paraId="247210B4"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Multimodal / Digital – ITS</w:t>
            </w:r>
          </w:p>
        </w:tc>
        <w:tc>
          <w:tcPr>
            <w:tcW w:w="6242" w:type="dxa"/>
            <w:shd w:val="clear" w:color="auto" w:fill="F2F2F2" w:themeFill="background1" w:themeFillShade="F2"/>
            <w:vAlign w:val="center"/>
            <w:hideMark/>
          </w:tcPr>
          <w:p w14:paraId="46F78E40"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Directiva 2010/40/UE a Parlamentului European și a Consiliului din 7 iulie 2010 privind cadrul pentru implementarea sistemelor de transport inteligente în domeniul transportului rutier și pentru interfețele cu alte moduri de transport</w:t>
            </w:r>
          </w:p>
        </w:tc>
        <w:tc>
          <w:tcPr>
            <w:tcW w:w="1133" w:type="dxa"/>
            <w:shd w:val="clear" w:color="auto" w:fill="F2F2F2" w:themeFill="background1" w:themeFillShade="F2"/>
            <w:vAlign w:val="center"/>
            <w:hideMark/>
          </w:tcPr>
          <w:p w14:paraId="22190452"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r w:rsidR="00AF66BB" w:rsidRPr="007D3D4F" w14:paraId="0196BDC4" w14:textId="77777777" w:rsidTr="00A61497">
        <w:tc>
          <w:tcPr>
            <w:tcW w:w="0" w:type="auto"/>
            <w:shd w:val="clear" w:color="auto" w:fill="F2F2F2" w:themeFill="background1" w:themeFillShade="F2"/>
            <w:vAlign w:val="center"/>
          </w:tcPr>
          <w:p w14:paraId="62B2CAFA" w14:textId="77777777" w:rsidR="00AF66BB" w:rsidRPr="007D3D4F" w:rsidRDefault="00AF66BB" w:rsidP="004C072F">
            <w:pPr>
              <w:pStyle w:val="Listparagraf"/>
              <w:spacing w:before="120" w:after="120"/>
              <w:ind w:left="0"/>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TEN</w:t>
            </w:r>
            <w:r w:rsidRPr="007D3D4F">
              <w:rPr>
                <w:rFonts w:ascii="Times New Roman" w:hAnsi="Times New Roman" w:cs="Times New Roman"/>
                <w:color w:val="000000" w:themeColor="text1"/>
                <w:sz w:val="20"/>
                <w:szCs w:val="20"/>
              </w:rPr>
              <w:noBreakHyphen/>
              <w:t>T</w:t>
            </w:r>
          </w:p>
        </w:tc>
        <w:tc>
          <w:tcPr>
            <w:tcW w:w="6242" w:type="dxa"/>
            <w:shd w:val="clear" w:color="auto" w:fill="F2F2F2" w:themeFill="background1" w:themeFillShade="F2"/>
            <w:vAlign w:val="center"/>
          </w:tcPr>
          <w:p w14:paraId="0021BF8D" w14:textId="77777777" w:rsidR="00AF66BB" w:rsidRPr="007D3D4F" w:rsidRDefault="00AF66BB" w:rsidP="004C072F">
            <w:pPr>
              <w:pStyle w:val="Listparagraf"/>
              <w:spacing w:before="120" w:after="120"/>
              <w:ind w:left="56"/>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Regulamentul (UE) 2024/1679 al Parlamentului European și al Consiliului din 13 iunie 2024 privind orientările Uniunii pentru dezvoltarea rețelei transeuropene de transport, de modificare a Regulamentelor (UE) 2021/1153 și (UE) nr. 913/2010 și de abrogare a Regulamentului (UE) nr. 1315/2013</w:t>
            </w:r>
          </w:p>
        </w:tc>
        <w:tc>
          <w:tcPr>
            <w:tcW w:w="1133" w:type="dxa"/>
            <w:shd w:val="clear" w:color="auto" w:fill="F2F2F2" w:themeFill="background1" w:themeFillShade="F2"/>
            <w:vAlign w:val="center"/>
          </w:tcPr>
          <w:p w14:paraId="29BE38D3" w14:textId="77777777" w:rsidR="00AF66BB" w:rsidRPr="007D3D4F" w:rsidRDefault="00AF66BB" w:rsidP="004C072F">
            <w:pPr>
              <w:pStyle w:val="Listparagraf"/>
              <w:spacing w:before="120" w:after="120"/>
              <w:ind w:left="-84"/>
              <w:jc w:val="center"/>
              <w:rPr>
                <w:rFonts w:ascii="Times New Roman" w:hAnsi="Times New Roman" w:cs="Times New Roman"/>
                <w:color w:val="000000" w:themeColor="text1"/>
                <w:sz w:val="20"/>
                <w:szCs w:val="20"/>
              </w:rPr>
            </w:pPr>
            <w:r w:rsidRPr="007D3D4F">
              <w:rPr>
                <w:rFonts w:ascii="Times New Roman" w:hAnsi="Times New Roman" w:cs="Times New Roman"/>
                <w:color w:val="000000" w:themeColor="text1"/>
                <w:sz w:val="20"/>
                <w:szCs w:val="20"/>
              </w:rPr>
              <w:t>În vigoare</w:t>
            </w:r>
          </w:p>
        </w:tc>
      </w:tr>
    </w:tbl>
    <w:p w14:paraId="0EFAB22B" w14:textId="77777777" w:rsidR="00AF66BB" w:rsidRPr="007D3D4F" w:rsidRDefault="00AF66BB" w:rsidP="004C072F">
      <w:pPr>
        <w:pStyle w:val="Legend"/>
        <w:spacing w:before="120" w:after="120"/>
        <w:contextualSpacing/>
        <w:jc w:val="center"/>
        <w:rPr>
          <w:rFonts w:ascii="Times New Roman" w:hAnsi="Times New Roman" w:cs="Times New Roman"/>
          <w:i w:val="0"/>
          <w:iCs w:val="0"/>
          <w:color w:val="auto"/>
          <w:sz w:val="22"/>
          <w:szCs w:val="22"/>
        </w:rPr>
      </w:pPr>
      <w:r w:rsidRPr="007D3D4F">
        <w:rPr>
          <w:rFonts w:ascii="Times New Roman" w:hAnsi="Times New Roman" w:cs="Times New Roman"/>
          <w:b/>
          <w:bCs/>
          <w:i w:val="0"/>
          <w:iCs w:val="0"/>
          <w:color w:val="auto"/>
          <w:sz w:val="22"/>
          <w:szCs w:val="22"/>
        </w:rPr>
        <w:t xml:space="preserve">Sursa: </w:t>
      </w:r>
      <w:r w:rsidRPr="007D3D4F">
        <w:rPr>
          <w:rFonts w:ascii="Times New Roman" w:hAnsi="Times New Roman" w:cs="Times New Roman"/>
          <w:i w:val="0"/>
          <w:iCs w:val="0"/>
          <w:color w:val="auto"/>
          <w:sz w:val="22"/>
          <w:szCs w:val="22"/>
        </w:rPr>
        <w:t>Autorul, pe baza datelor disponibile pe platforma EUR-lex</w:t>
      </w:r>
    </w:p>
    <w:p w14:paraId="4291C44F"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6D24E1E0"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În continuare sunt prezentate, succint, principalele prevederi ale fiecărui act normativ menționat în tabel, precum și relevanța acestora pentru strategia județeană.</w:t>
      </w:r>
    </w:p>
    <w:p w14:paraId="3AFA485C"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p>
    <w:p w14:paraId="2EB6C02C" w14:textId="77777777" w:rsidR="00AF66BB" w:rsidRPr="007D3D4F" w:rsidRDefault="00AF66BB" w:rsidP="00A61497">
      <w:pPr>
        <w:pStyle w:val="Listparagraf"/>
        <w:shd w:val="clear" w:color="auto" w:fill="767171" w:themeFill="background2" w:themeFillShade="80"/>
        <w:spacing w:before="120" w:after="120" w:line="240" w:lineRule="auto"/>
        <w:ind w:left="0"/>
        <w:jc w:val="both"/>
        <w:rPr>
          <w:rFonts w:ascii="Times New Roman" w:hAnsi="Times New Roman" w:cs="Times New Roman"/>
          <w:b/>
          <w:bCs/>
          <w:color w:val="FFFFFF" w:themeColor="background1"/>
        </w:rPr>
      </w:pPr>
      <w:r w:rsidRPr="007D3D4F">
        <w:rPr>
          <w:rFonts w:ascii="Times New Roman" w:hAnsi="Times New Roman" w:cs="Times New Roman"/>
          <w:b/>
          <w:bCs/>
          <w:color w:val="FFFFFF" w:themeColor="background1"/>
        </w:rPr>
        <w:t>Acte normative cu implicații asupra transportului rutier</w:t>
      </w:r>
    </w:p>
    <w:p w14:paraId="33F72E27" w14:textId="77777777" w:rsidR="00AF66BB" w:rsidRPr="007D3D4F" w:rsidRDefault="00AF66BB" w:rsidP="004C072F">
      <w:pPr>
        <w:pStyle w:val="Legend"/>
        <w:spacing w:before="120" w:after="120"/>
        <w:contextualSpacing/>
        <w:jc w:val="both"/>
        <w:rPr>
          <w:rFonts w:ascii="Times New Roman" w:hAnsi="Times New Roman" w:cs="Times New Roman"/>
          <w:i w:val="0"/>
          <w:iCs w:val="0"/>
          <w:color w:val="auto"/>
          <w:sz w:val="22"/>
          <w:szCs w:val="22"/>
        </w:rPr>
      </w:pPr>
      <w:r w:rsidRPr="007D3D4F">
        <w:rPr>
          <w:rFonts w:ascii="Times New Roman" w:hAnsi="Times New Roman" w:cs="Times New Roman"/>
          <w:b/>
          <w:bCs/>
          <w:color w:val="000000" w:themeColor="text1"/>
          <w:sz w:val="22"/>
          <w:szCs w:val="22"/>
        </w:rPr>
        <w:t>Regulamentul (UE) 2018/858 al Parlamentului European și al Consiliului din 30 mai 2018 privind omologarea și supravegherea pieței autovehiculelor și remorcilor acestora, precum și ale sistemelor, componentelor și unităților tehnice separate destinate vehiculelor respective, de modificare a Regulamentelor (CE) nr. 715/2007 și (CE) nr. 595/2009 și de abrogare a Directivei 2007/46/CE</w:t>
      </w:r>
      <w:r w:rsidRPr="007D3D4F">
        <w:rPr>
          <w:rStyle w:val="Referinnotdesubsol"/>
          <w:rFonts w:ascii="Times New Roman" w:hAnsi="Times New Roman" w:cs="Times New Roman"/>
          <w:i w:val="0"/>
          <w:iCs w:val="0"/>
          <w:color w:val="auto"/>
          <w:sz w:val="22"/>
          <w:szCs w:val="22"/>
        </w:rPr>
        <w:footnoteReference w:id="1"/>
      </w:r>
      <w:r w:rsidRPr="007D3D4F">
        <w:rPr>
          <w:rFonts w:ascii="Times New Roman" w:hAnsi="Times New Roman" w:cs="Times New Roman"/>
          <w:b/>
          <w:bCs/>
          <w:color w:val="000000" w:themeColor="text1"/>
          <w:sz w:val="22"/>
          <w:szCs w:val="22"/>
        </w:rPr>
        <w:t xml:space="preserve">. </w:t>
      </w: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4C3BB2C9" w14:textId="77777777" w:rsidTr="00A61497">
        <w:tc>
          <w:tcPr>
            <w:tcW w:w="1135" w:type="pct"/>
            <w:shd w:val="clear" w:color="auto" w:fill="DEEAF6" w:themeFill="accent5" w:themeFillTint="33"/>
            <w:vAlign w:val="center"/>
          </w:tcPr>
          <w:p w14:paraId="2CB263AA"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52A62DE6"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Stabilește procedurile de omologare și control al conformității  pentru vehiculele rutiere, înlocuind Directiva 2007/46/CE. Consolidează responsabilitățile autorităților naționale privind verificarea vehiculelor și supravegherea pieței.</w:t>
            </w:r>
          </w:p>
        </w:tc>
      </w:tr>
      <w:tr w:rsidR="00AF66BB" w:rsidRPr="007D3D4F" w14:paraId="0F188E49" w14:textId="77777777" w:rsidTr="00A61497">
        <w:tc>
          <w:tcPr>
            <w:tcW w:w="1135" w:type="pct"/>
            <w:shd w:val="clear" w:color="auto" w:fill="DEEAF6" w:themeFill="accent5" w:themeFillTint="33"/>
            <w:vAlign w:val="center"/>
          </w:tcPr>
          <w:p w14:paraId="2946A7E1"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16A33AEF"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Fiind un regulament european, se aplică direct în toate statele membre, inclusiv în România, fără a necesita transpunere. Autoritățile naționale, au obligația de a asigura respectarea acestor prevederi.</w:t>
            </w:r>
          </w:p>
        </w:tc>
      </w:tr>
      <w:tr w:rsidR="00AF66BB" w:rsidRPr="007D3D4F" w14:paraId="73A5CD68" w14:textId="77777777" w:rsidTr="00A61497">
        <w:tc>
          <w:tcPr>
            <w:tcW w:w="1135" w:type="pct"/>
            <w:shd w:val="clear" w:color="auto" w:fill="DEEAF6" w:themeFill="accent5" w:themeFillTint="33"/>
            <w:vAlign w:val="center"/>
          </w:tcPr>
          <w:p w14:paraId="3C17477C"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lastRenderedPageBreak/>
              <w:t>Relevanță pentru strategie:</w:t>
            </w:r>
          </w:p>
        </w:tc>
        <w:tc>
          <w:tcPr>
            <w:tcW w:w="3865" w:type="pct"/>
            <w:shd w:val="clear" w:color="auto" w:fill="DEEAF6" w:themeFill="accent5" w:themeFillTint="33"/>
            <w:vAlign w:val="center"/>
          </w:tcPr>
          <w:p w14:paraId="641E2607"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Susține necesitatea ca flota de transport public și privat din județ să respecte standardele europene de siguranță și mediu, în special în contextul modernizării parcurilor auto și achizițiilor de vehicule ecologice.</w:t>
            </w:r>
          </w:p>
        </w:tc>
      </w:tr>
    </w:tbl>
    <w:p w14:paraId="3AC5FA14" w14:textId="77777777" w:rsidR="00AF66BB" w:rsidRPr="007D3D4F" w:rsidRDefault="00AF66BB" w:rsidP="004C072F">
      <w:pPr>
        <w:spacing w:before="120" w:after="120" w:line="240" w:lineRule="auto"/>
        <w:contextualSpacing/>
        <w:jc w:val="both"/>
        <w:rPr>
          <w:rFonts w:ascii="Times New Roman" w:hAnsi="Times New Roman" w:cs="Times New Roman"/>
          <w:b/>
          <w:bCs/>
          <w:color w:val="000000" w:themeColor="text1"/>
        </w:rPr>
      </w:pPr>
    </w:p>
    <w:p w14:paraId="5817AF4D" w14:textId="77777777" w:rsidR="00AF66BB" w:rsidRPr="007D3D4F" w:rsidRDefault="00AF66BB" w:rsidP="004C072F">
      <w:pPr>
        <w:spacing w:before="120" w:after="120" w:line="240" w:lineRule="auto"/>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Regulamentul (UE) 2023/851 al Parlamentului European și al Consiliului din 19 aprilie 2023 de modificare a Regulamentului (UE) 2019/631 în ceea ce privește consolidarea standardelor de performanță privind emisiile de CO2 pentru autoturismele noi și pentru vehiculele utilitare ușoare noi, în conformitate cu obiectivele climatice mai ambițioase ale Uniunii</w:t>
      </w:r>
      <w:r w:rsidRPr="007D3D4F">
        <w:rPr>
          <w:rStyle w:val="Referinnotdesubsol"/>
          <w:rFonts w:ascii="Times New Roman" w:hAnsi="Times New Roman" w:cs="Times New Roman"/>
          <w:b/>
          <w:bCs/>
          <w:i/>
          <w:iCs/>
          <w:color w:val="000000" w:themeColor="text1"/>
        </w:rPr>
        <w:footnoteReference w:id="2"/>
      </w:r>
      <w:r w:rsidRPr="007D3D4F">
        <w:rPr>
          <w:rFonts w:ascii="Times New Roman" w:hAnsi="Times New Roman" w:cs="Times New Roman"/>
          <w:b/>
          <w:bCs/>
          <w:i/>
          <w:iCs/>
          <w:color w:val="000000" w:themeColor="text1"/>
        </w:rPr>
        <w:t>.</w:t>
      </w: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1043367C" w14:textId="77777777" w:rsidTr="00A61497">
        <w:tc>
          <w:tcPr>
            <w:tcW w:w="1135" w:type="pct"/>
            <w:shd w:val="clear" w:color="auto" w:fill="DEEAF6" w:themeFill="accent5" w:themeFillTint="33"/>
            <w:vAlign w:val="center"/>
          </w:tcPr>
          <w:p w14:paraId="1FACF53E"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4948FDF3"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Actualizează și înăsprește standardele de emisii pentru autoturismele și vehiculele utilitare ușoare noi, în conformitate cu obiectivele climatice ale Uniunii pentru 2030 și 2050. Începând cu 2035, obiectivul este ca toate noile vehicule înmatriculate să aibă emisii zero</w:t>
            </w:r>
          </w:p>
        </w:tc>
      </w:tr>
      <w:tr w:rsidR="00AF66BB" w:rsidRPr="007D3D4F" w14:paraId="56B9B6AE" w14:textId="77777777" w:rsidTr="00A61497">
        <w:tc>
          <w:tcPr>
            <w:tcW w:w="1135" w:type="pct"/>
            <w:shd w:val="clear" w:color="auto" w:fill="DEEAF6" w:themeFill="accent5" w:themeFillTint="33"/>
            <w:vAlign w:val="center"/>
          </w:tcPr>
          <w:p w14:paraId="7D8DF967"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4AA5D3C3"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Fiind un regulament european, se aplică direct în toate statele membre, inclusiv în România, fără a necesita transpunere. Autoritățile naționale trebuie să respecte aceste standarde în procedurile de omologare și în politicile privind tranziția ecologică.</w:t>
            </w:r>
          </w:p>
        </w:tc>
      </w:tr>
      <w:tr w:rsidR="00AF66BB" w:rsidRPr="007D3D4F" w14:paraId="4F5B43E3" w14:textId="77777777" w:rsidTr="00A61497">
        <w:tc>
          <w:tcPr>
            <w:tcW w:w="1135" w:type="pct"/>
            <w:shd w:val="clear" w:color="auto" w:fill="DEEAF6" w:themeFill="accent5" w:themeFillTint="33"/>
            <w:vAlign w:val="center"/>
          </w:tcPr>
          <w:p w14:paraId="2DA21F0F"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Relevanță pentru strategie:</w:t>
            </w:r>
          </w:p>
        </w:tc>
        <w:tc>
          <w:tcPr>
            <w:tcW w:w="3865" w:type="pct"/>
            <w:shd w:val="clear" w:color="auto" w:fill="DEEAF6" w:themeFill="accent5" w:themeFillTint="33"/>
            <w:vAlign w:val="center"/>
          </w:tcPr>
          <w:p w14:paraId="3F8E40DD"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Susține orientarea spre mobilitate cu emisii scăzute la nivel județean și justifică măsuri privind achiziția de vehicule nepoluante și extinderea infrastructurii pentru mobilitate electrică sau bazată pe combustibili alternativi.</w:t>
            </w:r>
          </w:p>
        </w:tc>
      </w:tr>
    </w:tbl>
    <w:p w14:paraId="7B4840FD"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p>
    <w:p w14:paraId="1DF22ED6" w14:textId="77777777" w:rsidR="00AF66BB" w:rsidRPr="007D3D4F" w:rsidRDefault="00AF66BB" w:rsidP="004C072F">
      <w:pPr>
        <w:spacing w:before="120" w:after="120" w:line="240" w:lineRule="auto"/>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Regulamentul (UE) nr. 165/2014 al Parlamentului European și al Consiliului din 4 februarie 2014 privind tahografele în transportul rutier, de abrogare a Regulamentului (CEE) nr. 3821/85 al Consiliului privind aparatura de înregistrare în transportul rutier și de modificare a Regulamentului (CE) nr. 561/2006 al Parlamentului European și al Consiliului privind armonizarea anumitor dispoziții ale legislației sociale în domeniul transporturilor rutiere</w:t>
      </w:r>
      <w:r w:rsidRPr="007D3D4F">
        <w:rPr>
          <w:rStyle w:val="Referinnotdesubsol"/>
          <w:rFonts w:ascii="Times New Roman" w:hAnsi="Times New Roman" w:cs="Times New Roman"/>
          <w:b/>
          <w:bCs/>
          <w:i/>
          <w:iCs/>
          <w:color w:val="000000" w:themeColor="text1"/>
        </w:rPr>
        <w:footnoteReference w:id="3"/>
      </w: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5B0A46DF" w14:textId="77777777" w:rsidTr="00A61497">
        <w:tc>
          <w:tcPr>
            <w:tcW w:w="1135" w:type="pct"/>
            <w:shd w:val="clear" w:color="auto" w:fill="DEEAF6" w:themeFill="accent5" w:themeFillTint="33"/>
            <w:vAlign w:val="center"/>
          </w:tcPr>
          <w:p w14:paraId="6EFB8435"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420BD57F"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Stabilește cerințele tehnice și obligațiile privind utilizarea tahografelor digitale în transportul rutier, în scopul monitorizării timpilor de conducere, odihnă și siguranță rutieră. Înlocuiește vechiul Regulament (CEE) nr. 3821/85 și actualizează regulile pentru a introduce „tahograful inteligent”, conectat la sistemele de comunicații.</w:t>
            </w:r>
          </w:p>
        </w:tc>
      </w:tr>
      <w:tr w:rsidR="00AF66BB" w:rsidRPr="007D3D4F" w14:paraId="39422507" w14:textId="77777777" w:rsidTr="00A61497">
        <w:tc>
          <w:tcPr>
            <w:tcW w:w="1135" w:type="pct"/>
            <w:shd w:val="clear" w:color="auto" w:fill="DEEAF6" w:themeFill="accent5" w:themeFillTint="33"/>
            <w:vAlign w:val="center"/>
          </w:tcPr>
          <w:p w14:paraId="344DBBC5"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2529377B"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Fiind un regulament european, se aplică direct în toate statele membre, inclusiv în România, fără a necesita transpunere. Operatorii de transport și autoritățile naționale (ex. ARR, ISCTR) au obligația de a respecta cerințele tehnice și de control.</w:t>
            </w:r>
          </w:p>
        </w:tc>
      </w:tr>
      <w:tr w:rsidR="00AF66BB" w:rsidRPr="007D3D4F" w14:paraId="6A57BAB0" w14:textId="77777777" w:rsidTr="00A61497">
        <w:tc>
          <w:tcPr>
            <w:tcW w:w="1135" w:type="pct"/>
            <w:shd w:val="clear" w:color="auto" w:fill="DEEAF6" w:themeFill="accent5" w:themeFillTint="33"/>
            <w:vAlign w:val="center"/>
          </w:tcPr>
          <w:p w14:paraId="399351FD"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lastRenderedPageBreak/>
              <w:t>Relevanță pentru strategie:</w:t>
            </w:r>
          </w:p>
        </w:tc>
        <w:tc>
          <w:tcPr>
            <w:tcW w:w="3865" w:type="pct"/>
            <w:shd w:val="clear" w:color="auto" w:fill="DEEAF6" w:themeFill="accent5" w:themeFillTint="33"/>
            <w:vAlign w:val="center"/>
          </w:tcPr>
          <w:p w14:paraId="63BD2595"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Deși nu vizează direct planificarea județeană a infrastructurii sau serviciilor publice, Regulamentul contribuie la creșterea siguranței și transparenței în transportul rutier prin stabilirea obligativității tahografelor digitale, cu efecte indirecte asupra calității serviciilor furnizate de operatorii locali.</w:t>
            </w:r>
          </w:p>
        </w:tc>
      </w:tr>
    </w:tbl>
    <w:p w14:paraId="42A1F1EA"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59CA8123" w14:textId="77777777" w:rsidR="00AF66BB" w:rsidRPr="007D3D4F" w:rsidRDefault="00AF66BB" w:rsidP="004C072F">
      <w:pPr>
        <w:spacing w:before="120" w:after="120" w:line="240" w:lineRule="auto"/>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Directiva  (UE) 2019/1936 a Parlamentului European și a Consiliului din 23 octombrie 2019 de modificare a Directivei 2008/96/CE privind gestionarea siguranței infrastructurii rutiere</w:t>
      </w:r>
      <w:r w:rsidRPr="007D3D4F">
        <w:rPr>
          <w:rStyle w:val="Referinnotdesubsol"/>
          <w:rFonts w:ascii="Times New Roman" w:hAnsi="Times New Roman" w:cs="Times New Roman"/>
          <w:b/>
          <w:bCs/>
          <w:i/>
          <w:iCs/>
          <w:color w:val="000000" w:themeColor="text1"/>
        </w:rPr>
        <w:footnoteReference w:id="4"/>
      </w: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5194F3FB" w14:textId="77777777" w:rsidTr="00A61497">
        <w:tc>
          <w:tcPr>
            <w:tcW w:w="1135" w:type="pct"/>
            <w:shd w:val="clear" w:color="auto" w:fill="DEEAF6" w:themeFill="accent5" w:themeFillTint="33"/>
            <w:vAlign w:val="center"/>
          </w:tcPr>
          <w:p w14:paraId="48C90178"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624A25B1"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Extinde domeniul de aplicare al normelor europene privind siguranța rutieră și introduce cerințe mai stricte pentru evaluarea riscurilor, inspecții de siguranță, audituri și managementul rețelelor rutiere. Noua directivă obligă statele membre să aplice aceste proceduri nu doar pe rețeaua TEN-T, ci și pe alte drumuri importante pentru conectivitate, inclusiv unele drumuri județene sau regionale.</w:t>
            </w:r>
          </w:p>
        </w:tc>
      </w:tr>
      <w:tr w:rsidR="00AF66BB" w:rsidRPr="007D3D4F" w14:paraId="3FC31F97" w14:textId="77777777" w:rsidTr="00A61497">
        <w:tc>
          <w:tcPr>
            <w:tcW w:w="1135" w:type="pct"/>
            <w:shd w:val="clear" w:color="auto" w:fill="DEEAF6" w:themeFill="accent5" w:themeFillTint="33"/>
            <w:vAlign w:val="center"/>
          </w:tcPr>
          <w:p w14:paraId="5A60C79D"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4DD6AD4C"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 xml:space="preserve">Directiva a fost transpusă în România prin </w:t>
            </w:r>
            <w:r w:rsidRPr="007D3D4F">
              <w:rPr>
                <w:rFonts w:ascii="Times New Roman" w:hAnsi="Times New Roman" w:cs="Times New Roman"/>
                <w:b/>
                <w:bCs/>
                <w:color w:val="000000" w:themeColor="text1"/>
              </w:rPr>
              <w:t>Ordonanța Guvernului nr. 3/2022</w:t>
            </w:r>
            <w:r w:rsidRPr="007D3D4F">
              <w:rPr>
                <w:rFonts w:ascii="Times New Roman" w:hAnsi="Times New Roman" w:cs="Times New Roman"/>
                <w:color w:val="000000" w:themeColor="text1"/>
              </w:rPr>
              <w:t xml:space="preserve">, care a completat </w:t>
            </w:r>
            <w:r w:rsidRPr="007D3D4F">
              <w:rPr>
                <w:rFonts w:ascii="Times New Roman" w:hAnsi="Times New Roman" w:cs="Times New Roman"/>
                <w:b/>
                <w:bCs/>
                <w:color w:val="000000" w:themeColor="text1"/>
              </w:rPr>
              <w:t>Legea nr. 265/2008</w:t>
            </w:r>
            <w:r w:rsidRPr="007D3D4F">
              <w:rPr>
                <w:rFonts w:ascii="Times New Roman" w:hAnsi="Times New Roman" w:cs="Times New Roman"/>
                <w:color w:val="000000" w:themeColor="text1"/>
              </w:rPr>
              <w:t xml:space="preserve"> privind gestionarea siguranței circulației pe infrastructura rutieră. </w:t>
            </w:r>
          </w:p>
        </w:tc>
      </w:tr>
      <w:tr w:rsidR="00AF66BB" w:rsidRPr="007D3D4F" w14:paraId="75ADBC95" w14:textId="77777777" w:rsidTr="00A61497">
        <w:tc>
          <w:tcPr>
            <w:tcW w:w="1135" w:type="pct"/>
            <w:shd w:val="clear" w:color="auto" w:fill="DEEAF6" w:themeFill="accent5" w:themeFillTint="33"/>
            <w:vAlign w:val="center"/>
          </w:tcPr>
          <w:p w14:paraId="3B9FBBAC"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Relevanță pentru strategie:</w:t>
            </w:r>
          </w:p>
        </w:tc>
        <w:tc>
          <w:tcPr>
            <w:tcW w:w="3865" w:type="pct"/>
            <w:shd w:val="clear" w:color="auto" w:fill="DEEAF6" w:themeFill="accent5" w:themeFillTint="33"/>
            <w:vAlign w:val="center"/>
          </w:tcPr>
          <w:p w14:paraId="79EF8AD3"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Justifică includerea de măsuri privind auditul de siguranță rutieră, prioritizarea investițiilor în tronsoane cu risc, modernizarea infrastructurii și aplicarea de standarde tehnice pentru creșterea siguranței rutiere la nivel județean</w:t>
            </w:r>
          </w:p>
        </w:tc>
      </w:tr>
    </w:tbl>
    <w:p w14:paraId="25288AC1"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1F5FD3E0" w14:textId="77777777" w:rsidR="00AF66BB" w:rsidRPr="007D3D4F" w:rsidRDefault="00AF66BB" w:rsidP="00A61497">
      <w:pPr>
        <w:pStyle w:val="Listparagraf"/>
        <w:shd w:val="clear" w:color="auto" w:fill="767171" w:themeFill="background2" w:themeFillShade="80"/>
        <w:spacing w:before="120" w:after="120" w:line="240" w:lineRule="auto"/>
        <w:ind w:left="0"/>
        <w:jc w:val="both"/>
        <w:rPr>
          <w:rFonts w:ascii="Times New Roman" w:hAnsi="Times New Roman" w:cs="Times New Roman"/>
          <w:b/>
          <w:bCs/>
          <w:color w:val="FFFFFF" w:themeColor="background1"/>
        </w:rPr>
      </w:pPr>
      <w:r w:rsidRPr="007D3D4F">
        <w:rPr>
          <w:rFonts w:ascii="Times New Roman" w:hAnsi="Times New Roman" w:cs="Times New Roman"/>
          <w:b/>
          <w:bCs/>
          <w:color w:val="FFFFFF" w:themeColor="background1"/>
        </w:rPr>
        <w:t>Acte normative cu implicații asupra transportului feroviar</w:t>
      </w:r>
    </w:p>
    <w:p w14:paraId="3A4FEFF9"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27B5F4C2" w14:textId="77777777" w:rsidR="00AF66BB" w:rsidRPr="007D3D4F" w:rsidRDefault="00AF66BB" w:rsidP="004C072F">
      <w:pPr>
        <w:pStyle w:val="Listparagraf"/>
        <w:spacing w:before="120" w:after="120" w:line="240" w:lineRule="auto"/>
        <w:ind w:left="0"/>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Directiva (UE) 2016/797 a Parlamentului European și a Consiliului din 11 mai 2016 privind interoperabilitatea sistemului feroviar în Uniunea Europeană (reformare)</w:t>
      </w:r>
    </w:p>
    <w:p w14:paraId="0A7B6D07" w14:textId="77777777" w:rsidR="00AF66BB" w:rsidRPr="007D3D4F" w:rsidRDefault="00AF66BB" w:rsidP="004C072F">
      <w:pPr>
        <w:pStyle w:val="Listparagraf"/>
        <w:spacing w:before="120" w:after="120" w:line="240" w:lineRule="auto"/>
        <w:ind w:left="0"/>
        <w:jc w:val="both"/>
        <w:rPr>
          <w:rFonts w:ascii="Times New Roman" w:hAnsi="Times New Roman" w:cs="Times New Roman"/>
          <w:b/>
          <w:bCs/>
          <w:i/>
          <w:iCs/>
          <w:color w:val="000000" w:themeColor="text1"/>
        </w:rPr>
      </w:pP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40B1C5AE" w14:textId="77777777" w:rsidTr="00A61497">
        <w:tc>
          <w:tcPr>
            <w:tcW w:w="1135" w:type="pct"/>
            <w:shd w:val="clear" w:color="auto" w:fill="DEEAF6" w:themeFill="accent5" w:themeFillTint="33"/>
            <w:vAlign w:val="center"/>
          </w:tcPr>
          <w:p w14:paraId="3C126203"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2846D6F9"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Stabilește condițiile și cerințele tehnice pentru realizarea interoperabilității rețelei feroviare europene, prin armonizarea standardelor privind infrastructura, semnalizarea, materialul rulant, siguranța și procedurile de autorizare. Înlocuiește și reformează Directiva 2008/57/CE, fiind parte a celui de-al patrulea pachet feroviar</w:t>
            </w:r>
            <w:r w:rsidRPr="007D3D4F">
              <w:rPr>
                <w:rStyle w:val="Referinnotdesubsol"/>
                <w:rFonts w:ascii="Times New Roman" w:hAnsi="Times New Roman" w:cs="Times New Roman"/>
              </w:rPr>
              <w:footnoteReference w:id="5"/>
            </w:r>
            <w:r w:rsidRPr="007D3D4F">
              <w:rPr>
                <w:rFonts w:ascii="Times New Roman" w:hAnsi="Times New Roman" w:cs="Times New Roman"/>
              </w:rPr>
              <w:t>.</w:t>
            </w:r>
          </w:p>
        </w:tc>
      </w:tr>
      <w:tr w:rsidR="00AF66BB" w:rsidRPr="007D3D4F" w14:paraId="2A0D677C" w14:textId="77777777" w:rsidTr="00A61497">
        <w:tc>
          <w:tcPr>
            <w:tcW w:w="1135" w:type="pct"/>
            <w:shd w:val="clear" w:color="auto" w:fill="DEEAF6" w:themeFill="accent5" w:themeFillTint="33"/>
            <w:vAlign w:val="center"/>
          </w:tcPr>
          <w:p w14:paraId="7EF97907"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43A4F30F"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 xml:space="preserve">A fost transpusă în România prin </w:t>
            </w:r>
            <w:r w:rsidRPr="007D3D4F">
              <w:rPr>
                <w:rFonts w:ascii="Times New Roman" w:hAnsi="Times New Roman" w:cs="Times New Roman"/>
                <w:b/>
                <w:bCs/>
                <w:color w:val="000000" w:themeColor="text1"/>
              </w:rPr>
              <w:t>Hotărârea Guvernului nr.108/2020 privind interoperabilitatea sistemului feroviar</w:t>
            </w:r>
            <w:r w:rsidRPr="007D3D4F">
              <w:rPr>
                <w:rFonts w:ascii="Times New Roman" w:hAnsi="Times New Roman" w:cs="Times New Roman"/>
                <w:color w:val="000000" w:themeColor="text1"/>
              </w:rPr>
              <w:t>, care stabilește cadrul național pentru autorizarea și utilizarea subsistemelor feroviare în conformitate cu cerințele europene de interoperabilitate</w:t>
            </w:r>
            <w:r w:rsidRPr="007D3D4F">
              <w:rPr>
                <w:rStyle w:val="Referinnotdesubsol"/>
                <w:rFonts w:ascii="Times New Roman" w:hAnsi="Times New Roman" w:cs="Times New Roman"/>
                <w:color w:val="000000" w:themeColor="text1"/>
              </w:rPr>
              <w:footnoteReference w:id="6"/>
            </w:r>
            <w:r w:rsidRPr="007D3D4F">
              <w:rPr>
                <w:rFonts w:ascii="Times New Roman" w:hAnsi="Times New Roman" w:cs="Times New Roman"/>
                <w:color w:val="000000" w:themeColor="text1"/>
              </w:rPr>
              <w:t>.</w:t>
            </w:r>
          </w:p>
        </w:tc>
      </w:tr>
      <w:tr w:rsidR="00AF66BB" w:rsidRPr="007D3D4F" w14:paraId="2D460083" w14:textId="77777777" w:rsidTr="00A61497">
        <w:tc>
          <w:tcPr>
            <w:tcW w:w="1135" w:type="pct"/>
            <w:shd w:val="clear" w:color="auto" w:fill="DEEAF6" w:themeFill="accent5" w:themeFillTint="33"/>
            <w:vAlign w:val="center"/>
          </w:tcPr>
          <w:p w14:paraId="5F47BC23"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lastRenderedPageBreak/>
              <w:t>Relevanță pentru strategie:</w:t>
            </w:r>
          </w:p>
        </w:tc>
        <w:tc>
          <w:tcPr>
            <w:tcW w:w="3865" w:type="pct"/>
            <w:shd w:val="clear" w:color="auto" w:fill="DEEAF6" w:themeFill="accent5" w:themeFillTint="33"/>
            <w:vAlign w:val="center"/>
          </w:tcPr>
          <w:p w14:paraId="5E097E7A"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Este esențială pentru orice intervenție asupra infrastructurii feroviare existente sau propuse în județ, inclusiv modernizarea gărilor, crearea de noduri intermodale sau introducerea de noi servicii de transport feroviar.</w:t>
            </w:r>
          </w:p>
        </w:tc>
      </w:tr>
    </w:tbl>
    <w:p w14:paraId="718E7488"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p>
    <w:p w14:paraId="01198889" w14:textId="77777777" w:rsidR="00AF66BB" w:rsidRPr="007D3D4F" w:rsidRDefault="00AF66BB" w:rsidP="004C072F">
      <w:pPr>
        <w:pStyle w:val="Listparagraf"/>
        <w:spacing w:before="120" w:after="120" w:line="240" w:lineRule="auto"/>
        <w:ind w:left="0"/>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Directiva (UE) 2016/798 a Parlamentului European și a Consiliului din 11 mai 2016 privind siguranța feroviară (reformare) </w:t>
      </w:r>
    </w:p>
    <w:p w14:paraId="4B979E73" w14:textId="77777777" w:rsidR="00AF66BB" w:rsidRPr="007D3D4F" w:rsidRDefault="00AF66BB" w:rsidP="004C072F">
      <w:pPr>
        <w:pStyle w:val="Listparagraf"/>
        <w:spacing w:before="120" w:after="120" w:line="240" w:lineRule="auto"/>
        <w:ind w:left="0"/>
        <w:jc w:val="both"/>
        <w:rPr>
          <w:rFonts w:ascii="Times New Roman" w:hAnsi="Times New Roman" w:cs="Times New Roman"/>
          <w:b/>
          <w:bCs/>
          <w:i/>
          <w:iCs/>
          <w:color w:val="000000" w:themeColor="text1"/>
        </w:rPr>
      </w:pP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773D6310" w14:textId="77777777" w:rsidTr="00A61497">
        <w:tc>
          <w:tcPr>
            <w:tcW w:w="1135" w:type="pct"/>
            <w:shd w:val="clear" w:color="auto" w:fill="DEEAF6" w:themeFill="accent5" w:themeFillTint="33"/>
            <w:vAlign w:val="center"/>
          </w:tcPr>
          <w:p w14:paraId="12A681D7"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18CFCECE"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Stabilește cadrul general pentru menținerea și îmbunătățirea siguranței în transportul feroviar din UE. Reglementează responsabilitățile autorităților naționale de siguranță, ale administratorilor de infrastructură și ale operatorilor feroviari. Introduce cerințe clare privind sistemele de management al siguranței, certificarea entităților implicate și mecanismele de supraveghere și investigare a accidentelor</w:t>
            </w:r>
            <w:r w:rsidRPr="007D3D4F">
              <w:rPr>
                <w:rStyle w:val="Referinnotdesubsol"/>
                <w:rFonts w:ascii="Times New Roman" w:hAnsi="Times New Roman" w:cs="Times New Roman"/>
              </w:rPr>
              <w:footnoteReference w:id="7"/>
            </w:r>
            <w:r w:rsidRPr="007D3D4F">
              <w:rPr>
                <w:rFonts w:ascii="Times New Roman" w:hAnsi="Times New Roman" w:cs="Times New Roman"/>
              </w:rPr>
              <w:t>.</w:t>
            </w:r>
          </w:p>
        </w:tc>
      </w:tr>
      <w:tr w:rsidR="00AF66BB" w:rsidRPr="007D3D4F" w14:paraId="76F0D6F7" w14:textId="77777777" w:rsidTr="00A61497">
        <w:tc>
          <w:tcPr>
            <w:tcW w:w="1135" w:type="pct"/>
            <w:shd w:val="clear" w:color="auto" w:fill="DEEAF6" w:themeFill="accent5" w:themeFillTint="33"/>
            <w:vAlign w:val="center"/>
          </w:tcPr>
          <w:p w14:paraId="090E5FCA"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077D8F58"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 xml:space="preserve">Directiva a fost transpusă în România prin </w:t>
            </w:r>
            <w:r w:rsidRPr="007D3D4F">
              <w:rPr>
                <w:rFonts w:ascii="Times New Roman" w:hAnsi="Times New Roman" w:cs="Times New Roman"/>
                <w:b/>
                <w:bCs/>
                <w:color w:val="000000" w:themeColor="text1"/>
              </w:rPr>
              <w:t>Ordonanța de urgență nr. 73/2019</w:t>
            </w:r>
            <w:r w:rsidRPr="007D3D4F">
              <w:rPr>
                <w:rStyle w:val="Referinnotdesubsol"/>
                <w:rFonts w:ascii="Times New Roman" w:hAnsi="Times New Roman" w:cs="Times New Roman"/>
                <w:b/>
                <w:bCs/>
                <w:color w:val="000000" w:themeColor="text1"/>
              </w:rPr>
              <w:footnoteReference w:id="8"/>
            </w:r>
            <w:r w:rsidRPr="007D3D4F">
              <w:rPr>
                <w:rFonts w:ascii="Times New Roman" w:hAnsi="Times New Roman" w:cs="Times New Roman"/>
                <w:color w:val="000000" w:themeColor="text1"/>
              </w:rPr>
              <w:t>, care reglementează funcționarea Autorității de Siguranță Feroviară Română (ASFR) și armonizează procedurile de acordare a certificatelor de siguranță cu standardele UE.</w:t>
            </w:r>
          </w:p>
        </w:tc>
      </w:tr>
      <w:tr w:rsidR="00AF66BB" w:rsidRPr="007D3D4F" w14:paraId="7F798D1D" w14:textId="77777777" w:rsidTr="00A61497">
        <w:tc>
          <w:tcPr>
            <w:tcW w:w="1135" w:type="pct"/>
            <w:shd w:val="clear" w:color="auto" w:fill="DEEAF6" w:themeFill="accent5" w:themeFillTint="33"/>
            <w:vAlign w:val="center"/>
          </w:tcPr>
          <w:p w14:paraId="1073C42F"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Relevanță pentru strategie:</w:t>
            </w:r>
          </w:p>
        </w:tc>
        <w:tc>
          <w:tcPr>
            <w:tcW w:w="3865" w:type="pct"/>
            <w:shd w:val="clear" w:color="auto" w:fill="DEEAF6" w:themeFill="accent5" w:themeFillTint="33"/>
            <w:vAlign w:val="center"/>
          </w:tcPr>
          <w:p w14:paraId="4439FBB1"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Este importantă în contextul modernizării infrastructurii feroviare județene, pentru a asigura respectarea standardelor europene de siguranță în cazul reabilitării stațiilor, introducerii unor servicii de transport feroviar sau a conectării cu rețeaua feroviară națională. Respectarea acestei directive este o condiție pentru finanțarea proiectelor feroviare din fonduri europene</w:t>
            </w:r>
          </w:p>
        </w:tc>
      </w:tr>
    </w:tbl>
    <w:p w14:paraId="75278D3D"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0962592C" w14:textId="77777777" w:rsidR="00AF66BB" w:rsidRPr="007D3D4F" w:rsidRDefault="00AF66BB" w:rsidP="00A61497">
      <w:pPr>
        <w:pStyle w:val="Listparagraf"/>
        <w:shd w:val="clear" w:color="auto" w:fill="767171" w:themeFill="background2" w:themeFillShade="80"/>
        <w:spacing w:before="120" w:after="120" w:line="240" w:lineRule="auto"/>
        <w:ind w:left="0"/>
        <w:jc w:val="both"/>
        <w:rPr>
          <w:rFonts w:ascii="Times New Roman" w:hAnsi="Times New Roman" w:cs="Times New Roman"/>
          <w:b/>
          <w:bCs/>
          <w:color w:val="FFFFFF" w:themeColor="background1"/>
        </w:rPr>
      </w:pPr>
      <w:r w:rsidRPr="007D3D4F">
        <w:rPr>
          <w:rFonts w:ascii="Times New Roman" w:hAnsi="Times New Roman" w:cs="Times New Roman"/>
          <w:b/>
          <w:bCs/>
          <w:color w:val="FFFFFF" w:themeColor="background1"/>
        </w:rPr>
        <w:t>Acte normative cu implicații asupra transportului aerian</w:t>
      </w:r>
    </w:p>
    <w:p w14:paraId="1D0391C7"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2CFC39E3" w14:textId="77777777" w:rsidR="00AF66BB" w:rsidRPr="007D3D4F" w:rsidRDefault="00AF66BB" w:rsidP="004C072F">
      <w:pPr>
        <w:pStyle w:val="Listparagraf"/>
        <w:spacing w:before="120" w:after="120" w:line="240" w:lineRule="auto"/>
        <w:ind w:left="0"/>
        <w:jc w:val="both"/>
        <w:rPr>
          <w:rFonts w:ascii="Times New Roman" w:hAnsi="Times New Roman" w:cs="Times New Roman"/>
          <w:i/>
          <w:iCs/>
          <w:color w:val="000000" w:themeColor="text1"/>
        </w:rPr>
      </w:pPr>
      <w:r w:rsidRPr="007D3D4F">
        <w:rPr>
          <w:rFonts w:ascii="Times New Roman" w:hAnsi="Times New Roman" w:cs="Times New Roman"/>
          <w:b/>
          <w:bCs/>
          <w:i/>
          <w:iCs/>
          <w:color w:val="000000" w:themeColor="text1"/>
        </w:rPr>
        <w:t>Regulamentul (CE) nr. 261/2004 al Parlamentului European și al Consiliului din 11 februarie 2004 de stabilire a unor norme comune în materie de compensare și de asistență a pasagerilor în eventualitatea refuzului la îmbarcare și anulării sau întârzierii prelungite a zborurilor și de abrogare a Regulamentului (CEE) nr. 295/91</w:t>
      </w:r>
      <w:r w:rsidRPr="007D3D4F">
        <w:rPr>
          <w:rStyle w:val="Referinnotdesubsol"/>
          <w:rFonts w:ascii="Times New Roman" w:hAnsi="Times New Roman" w:cs="Times New Roman"/>
          <w:b/>
          <w:bCs/>
          <w:i/>
          <w:iCs/>
          <w:color w:val="000000" w:themeColor="text1"/>
        </w:rPr>
        <w:footnoteReference w:id="9"/>
      </w:r>
    </w:p>
    <w:p w14:paraId="634594F3"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7B76F0A8" w14:textId="77777777" w:rsidTr="00A61497">
        <w:tc>
          <w:tcPr>
            <w:tcW w:w="1135" w:type="pct"/>
            <w:shd w:val="clear" w:color="auto" w:fill="DEEAF6" w:themeFill="accent5" w:themeFillTint="33"/>
            <w:vAlign w:val="center"/>
          </w:tcPr>
          <w:p w14:paraId="7F702629"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0C74E4B7"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Stabilește drepturile pasagerilor care călătoresc pe calea aerului în UE, inclusiv compensații financiare, asistență și rerutare în caz de întârziere, anulare sau refuz la îmbarcare. Se aplică tuturor zborurilor operate de companii din UE sau care aterizează pe un aeroport din UE.</w:t>
            </w:r>
          </w:p>
        </w:tc>
      </w:tr>
      <w:tr w:rsidR="00AF66BB" w:rsidRPr="007D3D4F" w14:paraId="2BEE5E35" w14:textId="77777777" w:rsidTr="00A61497">
        <w:tc>
          <w:tcPr>
            <w:tcW w:w="1135" w:type="pct"/>
            <w:shd w:val="clear" w:color="auto" w:fill="DEEAF6" w:themeFill="accent5" w:themeFillTint="33"/>
            <w:vAlign w:val="center"/>
          </w:tcPr>
          <w:p w14:paraId="1CFB555E"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7106C632"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 xml:space="preserve">Fiind un regulament european, se aplică direct în toate statele membre, inclusiv în România, fără a necesita transpunere. Este pus în aplicare la nivel național </w:t>
            </w:r>
            <w:r w:rsidRPr="007D3D4F">
              <w:rPr>
                <w:rFonts w:ascii="Times New Roman" w:hAnsi="Times New Roman" w:cs="Times New Roman"/>
                <w:color w:val="000000" w:themeColor="text1"/>
              </w:rPr>
              <w:lastRenderedPageBreak/>
              <w:t xml:space="preserve">prin intermediul </w:t>
            </w:r>
            <w:r w:rsidRPr="007D3D4F">
              <w:rPr>
                <w:rFonts w:ascii="Times New Roman" w:hAnsi="Times New Roman" w:cs="Times New Roman"/>
                <w:b/>
                <w:bCs/>
                <w:color w:val="000000" w:themeColor="text1"/>
              </w:rPr>
              <w:t>Autorității Aeronautice Civile Române</w:t>
            </w:r>
            <w:r w:rsidRPr="007D3D4F">
              <w:rPr>
                <w:rFonts w:ascii="Times New Roman" w:hAnsi="Times New Roman" w:cs="Times New Roman"/>
                <w:color w:val="000000" w:themeColor="text1"/>
              </w:rPr>
              <w:t xml:space="preserve"> și a </w:t>
            </w:r>
            <w:r w:rsidRPr="007D3D4F">
              <w:rPr>
                <w:rFonts w:ascii="Times New Roman" w:hAnsi="Times New Roman" w:cs="Times New Roman"/>
                <w:b/>
                <w:bCs/>
                <w:color w:val="000000" w:themeColor="text1"/>
              </w:rPr>
              <w:t>Autorității Naționale pentru Protecția Consumatorilor</w:t>
            </w:r>
            <w:r w:rsidRPr="007D3D4F">
              <w:rPr>
                <w:rFonts w:ascii="Times New Roman" w:hAnsi="Times New Roman" w:cs="Times New Roman"/>
                <w:color w:val="000000" w:themeColor="text1"/>
              </w:rPr>
              <w:t>.</w:t>
            </w:r>
          </w:p>
        </w:tc>
      </w:tr>
      <w:tr w:rsidR="00AF66BB" w:rsidRPr="007D3D4F" w14:paraId="1D2E670C" w14:textId="77777777" w:rsidTr="00A61497">
        <w:tc>
          <w:tcPr>
            <w:tcW w:w="1135" w:type="pct"/>
            <w:shd w:val="clear" w:color="auto" w:fill="DEEAF6" w:themeFill="accent5" w:themeFillTint="33"/>
            <w:vAlign w:val="center"/>
          </w:tcPr>
          <w:p w14:paraId="72A0DC69"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lastRenderedPageBreak/>
              <w:t>Relevanță pentru strategie:</w:t>
            </w:r>
          </w:p>
        </w:tc>
        <w:tc>
          <w:tcPr>
            <w:tcW w:w="3865" w:type="pct"/>
            <w:shd w:val="clear" w:color="auto" w:fill="DEEAF6" w:themeFill="accent5" w:themeFillTint="33"/>
            <w:vAlign w:val="center"/>
          </w:tcPr>
          <w:p w14:paraId="20349B16"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Este relevant în contextul intenției de dezvoltare a unui aeroport județean, întrucât orice infrastructură aeriană destinată transportului public de pasageri trebuie să respecte prevederile acestui regulament. Includerea acestor cerințe în planificarea serviciilor aeroportuare va asigura conformitatea legală și protecția pasagerilor, contribuind la creșterea încrederii în viitorul transport aerian regional.</w:t>
            </w:r>
          </w:p>
        </w:tc>
      </w:tr>
    </w:tbl>
    <w:p w14:paraId="1833F8D9"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p>
    <w:p w14:paraId="1CDE6D3C" w14:textId="77777777" w:rsidR="00AF66BB" w:rsidRPr="007D3D4F" w:rsidRDefault="00AF66BB" w:rsidP="004C072F">
      <w:pPr>
        <w:pStyle w:val="Listparagraf"/>
        <w:spacing w:before="120" w:after="120" w:line="240" w:lineRule="auto"/>
        <w:ind w:left="0"/>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Regulamentul (UE) 2018/1139 al Parlamentului European și al Consiliului din 4 iulie 2018 privind normele comune în domeniul aviației civile și de înființare a Agenției Uniunii Europene pentru Siguranța Aviației, de modificare a Regulamentelor (CE) nr. 2111/2005, (CE) nr. 1008/2008, (UE) nr. 996/2010, (UE) nr. 376/2014 și a Directivelor 2014/30/UE și 2014/53/UE ale Parlamentului European și ale Consiliului, precum și de abrogare a Regulamentelor (CE) nr. 552/2004 și (CE) nr. 216/2008 ale Parlamentului European și ale Consiliului și a Regulamentului (CEE) No 3922/91 al Consiliului</w:t>
      </w:r>
      <w:r w:rsidRPr="007D3D4F">
        <w:rPr>
          <w:rStyle w:val="Referinnotdesubsol"/>
          <w:rFonts w:ascii="Times New Roman" w:hAnsi="Times New Roman" w:cs="Times New Roman"/>
          <w:b/>
          <w:bCs/>
          <w:i/>
          <w:iCs/>
          <w:color w:val="000000" w:themeColor="text1"/>
        </w:rPr>
        <w:footnoteReference w:id="10"/>
      </w:r>
    </w:p>
    <w:p w14:paraId="1C114674" w14:textId="77777777" w:rsidR="00AF66BB" w:rsidRPr="007D3D4F" w:rsidRDefault="00AF66BB" w:rsidP="004C072F">
      <w:pPr>
        <w:pStyle w:val="Listparagraf"/>
        <w:spacing w:before="120" w:after="120" w:line="240" w:lineRule="auto"/>
        <w:ind w:left="0"/>
        <w:jc w:val="both"/>
        <w:rPr>
          <w:rFonts w:ascii="Times New Roman" w:hAnsi="Times New Roman" w:cs="Times New Roman"/>
          <w:b/>
          <w:bCs/>
          <w:i/>
          <w:iCs/>
          <w:color w:val="000000" w:themeColor="text1"/>
          <w:highlight w:val="yellow"/>
        </w:rPr>
      </w:pP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3C0864A0" w14:textId="77777777" w:rsidTr="00A61497">
        <w:tc>
          <w:tcPr>
            <w:tcW w:w="1135" w:type="pct"/>
            <w:shd w:val="clear" w:color="auto" w:fill="DEEAF6" w:themeFill="accent5" w:themeFillTint="33"/>
            <w:vAlign w:val="center"/>
          </w:tcPr>
          <w:p w14:paraId="5DC897B2"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73707368"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Stabilește cadrul legal unificat pentru siguranța aviației civile în Uniunea Europeană. Include reglementări privind certificarea aeronavelor, autorizarea operatorilor aerieni, licențierea personalului de zbor și supravegherea infrastructurii aeroportuare. De asemenea, definește atribuțiile Agenției Uniunii Europene pentru Siguranța Aviației (EASA), care joacă un rol central în reglementarea și supervizarea sectorului aerian în Europa.</w:t>
            </w:r>
          </w:p>
        </w:tc>
      </w:tr>
      <w:tr w:rsidR="00AF66BB" w:rsidRPr="007D3D4F" w14:paraId="3D5E4B18" w14:textId="77777777" w:rsidTr="00A61497">
        <w:tc>
          <w:tcPr>
            <w:tcW w:w="1135" w:type="pct"/>
            <w:shd w:val="clear" w:color="auto" w:fill="DEEAF6" w:themeFill="accent5" w:themeFillTint="33"/>
            <w:vAlign w:val="center"/>
          </w:tcPr>
          <w:p w14:paraId="2909341B"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6120AB73"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Fiind un regulament european, se aplică direct în toate statele membre, inclusiv în România, fără a necesita transpunere. El constituie baza legală la nivelul Uniunii Europene pentru normele privind siguranța aviației civile și pentru activitatea EASA, iar în România este implementat prin legislația națională specifică în domeniul aviației civile.</w:t>
            </w:r>
          </w:p>
        </w:tc>
      </w:tr>
      <w:tr w:rsidR="00AF66BB" w:rsidRPr="007D3D4F" w14:paraId="45C7AF84" w14:textId="77777777" w:rsidTr="00A61497">
        <w:tc>
          <w:tcPr>
            <w:tcW w:w="1135" w:type="pct"/>
            <w:shd w:val="clear" w:color="auto" w:fill="DEEAF6" w:themeFill="accent5" w:themeFillTint="33"/>
            <w:vAlign w:val="center"/>
          </w:tcPr>
          <w:p w14:paraId="6573BC45"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Relevanță pentru strategie:</w:t>
            </w:r>
          </w:p>
        </w:tc>
        <w:tc>
          <w:tcPr>
            <w:tcW w:w="3865" w:type="pct"/>
            <w:shd w:val="clear" w:color="auto" w:fill="DEEAF6" w:themeFill="accent5" w:themeFillTint="33"/>
            <w:vAlign w:val="center"/>
          </w:tcPr>
          <w:p w14:paraId="240A9A21"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Este relevant pentru planificarea dezvoltării unui aeroport județean, întrucât orice infrastructură destinată aviației civile trebuie să respecte atât cerințele naționale de autorizare, cât și standardele europene privind siguranța, licențierea și supravegherea activităților aeroportuare și de zbor.</w:t>
            </w:r>
          </w:p>
        </w:tc>
      </w:tr>
    </w:tbl>
    <w:p w14:paraId="18A53864"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15711B37" w14:textId="77777777" w:rsidR="00AF66BB" w:rsidRPr="007D3D4F" w:rsidRDefault="00AF66BB" w:rsidP="00A61497">
      <w:pPr>
        <w:pStyle w:val="Listparagraf"/>
        <w:shd w:val="clear" w:color="auto" w:fill="767171" w:themeFill="background2" w:themeFillShade="80"/>
        <w:spacing w:before="120" w:after="120" w:line="240" w:lineRule="auto"/>
        <w:ind w:left="0"/>
        <w:jc w:val="both"/>
        <w:rPr>
          <w:rFonts w:ascii="Times New Roman" w:hAnsi="Times New Roman" w:cs="Times New Roman"/>
          <w:b/>
          <w:bCs/>
          <w:color w:val="FFFFFF" w:themeColor="background1"/>
        </w:rPr>
      </w:pPr>
      <w:r w:rsidRPr="007D3D4F">
        <w:rPr>
          <w:rFonts w:ascii="Times New Roman" w:hAnsi="Times New Roman" w:cs="Times New Roman"/>
          <w:b/>
          <w:bCs/>
          <w:color w:val="FFFFFF" w:themeColor="background1"/>
        </w:rPr>
        <w:t>Acte normative cu implicații asupra transportului naval</w:t>
      </w:r>
    </w:p>
    <w:p w14:paraId="2F2DBA04"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p>
    <w:p w14:paraId="0845E54D" w14:textId="77777777" w:rsidR="00AF66BB" w:rsidRPr="007D3D4F" w:rsidRDefault="00AF66BB" w:rsidP="004C072F">
      <w:pPr>
        <w:pStyle w:val="Listparagraf"/>
        <w:spacing w:before="120" w:after="120" w:line="240" w:lineRule="auto"/>
        <w:ind w:left="0"/>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Directiva (UE) 2016/1629 a Parlamentului European și a Consiliului din 14 septembrie 2016 de stabilire a cerințelor tehnice pentru navele de navigație interioară, de modificare a Directivei 2009/100/CE și de abrogare a Directivei 2006/87/CE</w:t>
      </w:r>
      <w:r w:rsidRPr="007D3D4F">
        <w:rPr>
          <w:rStyle w:val="Referinnotdesubsol"/>
          <w:rFonts w:ascii="Times New Roman" w:hAnsi="Times New Roman" w:cs="Times New Roman"/>
          <w:b/>
          <w:bCs/>
          <w:i/>
          <w:iCs/>
          <w:color w:val="000000" w:themeColor="text1"/>
        </w:rPr>
        <w:footnoteReference w:id="11"/>
      </w:r>
    </w:p>
    <w:p w14:paraId="7C7A7723"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563E531C" w14:textId="77777777" w:rsidTr="00A61497">
        <w:tc>
          <w:tcPr>
            <w:tcW w:w="1135" w:type="pct"/>
            <w:shd w:val="clear" w:color="auto" w:fill="DEEAF6" w:themeFill="accent5" w:themeFillTint="33"/>
            <w:vAlign w:val="center"/>
          </w:tcPr>
          <w:p w14:paraId="01397474"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143527A3"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Stabilește cerințele tehnice minime armonizate pentru proiectarea, construcția, echiparea și operarea navelor care navighează pe căile navigabile interioare ale Uniunii Europene. Înlocuiește Directiva 2006/87/CE și urmărește să asigure siguranța, interoperabilitatea și protecția mediului în transportul naval interior.</w:t>
            </w:r>
          </w:p>
        </w:tc>
      </w:tr>
      <w:tr w:rsidR="00AF66BB" w:rsidRPr="007D3D4F" w14:paraId="4526F048" w14:textId="77777777" w:rsidTr="00A61497">
        <w:tc>
          <w:tcPr>
            <w:tcW w:w="1135" w:type="pct"/>
            <w:shd w:val="clear" w:color="auto" w:fill="DEEAF6" w:themeFill="accent5" w:themeFillTint="33"/>
            <w:vAlign w:val="center"/>
          </w:tcPr>
          <w:p w14:paraId="300735AC"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1FA2D736"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Fiind o directivă, a fost transpusă în legislația națională Ordinul nr. 1472/2018 al ministrului transporturilor pentru aprobarea cerinţelor tehnice pentru navele de navigaţie interioară, care stabilește cerințele tehnice pentru navele de navigație interioară din România.</w:t>
            </w:r>
          </w:p>
        </w:tc>
      </w:tr>
      <w:tr w:rsidR="00AF66BB" w:rsidRPr="007D3D4F" w14:paraId="1A0515A6" w14:textId="77777777" w:rsidTr="00A61497">
        <w:tc>
          <w:tcPr>
            <w:tcW w:w="1135" w:type="pct"/>
            <w:shd w:val="clear" w:color="auto" w:fill="DEEAF6" w:themeFill="accent5" w:themeFillTint="33"/>
            <w:vAlign w:val="center"/>
          </w:tcPr>
          <w:p w14:paraId="01DCE6CE"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Relevanță pentru strategie:</w:t>
            </w:r>
          </w:p>
        </w:tc>
        <w:tc>
          <w:tcPr>
            <w:tcW w:w="3865" w:type="pct"/>
            <w:shd w:val="clear" w:color="auto" w:fill="DEEAF6" w:themeFill="accent5" w:themeFillTint="33"/>
            <w:vAlign w:val="center"/>
          </w:tcPr>
          <w:p w14:paraId="128F2EDA"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Asigurarea conformității cu cerințele acestei directive este esențială pentru planificarea și operarea infrastructurii portuare, precum și pentru autorizarea navelor și siguranța navigației în interiorul județului.</w:t>
            </w:r>
          </w:p>
        </w:tc>
      </w:tr>
    </w:tbl>
    <w:p w14:paraId="501C517A"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696E9CCB" w14:textId="77777777" w:rsidR="00AF66BB" w:rsidRPr="007D3D4F" w:rsidRDefault="00AF66BB" w:rsidP="004C072F">
      <w:pPr>
        <w:pStyle w:val="Listparagraf"/>
        <w:spacing w:before="120" w:after="120" w:line="240" w:lineRule="auto"/>
        <w:ind w:left="0"/>
        <w:jc w:val="both"/>
        <w:rPr>
          <w:rFonts w:ascii="Times New Roman" w:hAnsi="Times New Roman" w:cs="Times New Roman"/>
          <w:i/>
          <w:iCs/>
          <w:color w:val="000000" w:themeColor="text1"/>
        </w:rPr>
      </w:pPr>
      <w:r w:rsidRPr="007D3D4F">
        <w:rPr>
          <w:rFonts w:ascii="Times New Roman" w:hAnsi="Times New Roman" w:cs="Times New Roman"/>
          <w:b/>
          <w:bCs/>
          <w:i/>
          <w:iCs/>
          <w:color w:val="000000" w:themeColor="text1"/>
        </w:rPr>
        <w:t>Regulamentul (UE) 2019/1239 al Parlamentului European și al Consiliului din 20 iunie 2019 de stabilire a unui mediu aferent ghișeului unic european în domeniul maritim și de abrogare a Directivei 2010/65/UE</w:t>
      </w:r>
      <w:r w:rsidRPr="007D3D4F">
        <w:rPr>
          <w:rStyle w:val="Referinnotdesubsol"/>
          <w:rFonts w:ascii="Times New Roman" w:hAnsi="Times New Roman" w:cs="Times New Roman"/>
          <w:b/>
          <w:bCs/>
          <w:i/>
          <w:iCs/>
          <w:color w:val="000000" w:themeColor="text1"/>
        </w:rPr>
        <w:footnoteReference w:id="12"/>
      </w:r>
    </w:p>
    <w:p w14:paraId="53821207"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3729CB54" w14:textId="77777777" w:rsidTr="00A61497">
        <w:tc>
          <w:tcPr>
            <w:tcW w:w="1135" w:type="pct"/>
            <w:shd w:val="clear" w:color="auto" w:fill="DEEAF6" w:themeFill="accent5" w:themeFillTint="33"/>
            <w:vAlign w:val="center"/>
          </w:tcPr>
          <w:p w14:paraId="3FFA812B"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083A144F"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Stabilește un cadru digital unificat pentru raportarea electronică a informațiilor de către nave la sosirea și plecarea din porturile Uniunii Europene. Scopul este de a reduce birocrația și de a simplifica formalitățile administrative prin introducerea unui sistem armonizat, digitalizat și interoperabil între autoritățile portuare și operatorii maritimi. Acest regulament abrogă Directiva 2010/65/UE.</w:t>
            </w:r>
          </w:p>
        </w:tc>
      </w:tr>
      <w:tr w:rsidR="00AF66BB" w:rsidRPr="007D3D4F" w14:paraId="20D482C7" w14:textId="77777777" w:rsidTr="00A61497">
        <w:tc>
          <w:tcPr>
            <w:tcW w:w="1135" w:type="pct"/>
            <w:shd w:val="clear" w:color="auto" w:fill="DEEAF6" w:themeFill="accent5" w:themeFillTint="33"/>
            <w:vAlign w:val="center"/>
          </w:tcPr>
          <w:p w14:paraId="596A2AEF"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58FDEF5C"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Fiind un regulament european, se aplică direct în toate statele membre, inclusiv în România, fără a necesita transpunere. Este implementat la nivel național de Autoritatea Navală Română (ANR) și de administrațiile portuare, în special în porturile maritime și fluviale de interes internațional.</w:t>
            </w:r>
          </w:p>
        </w:tc>
      </w:tr>
      <w:tr w:rsidR="00AF66BB" w:rsidRPr="007D3D4F" w14:paraId="3AB934C5" w14:textId="77777777" w:rsidTr="00A61497">
        <w:tc>
          <w:tcPr>
            <w:tcW w:w="1135" w:type="pct"/>
            <w:shd w:val="clear" w:color="auto" w:fill="DEEAF6" w:themeFill="accent5" w:themeFillTint="33"/>
            <w:vAlign w:val="center"/>
          </w:tcPr>
          <w:p w14:paraId="13A9C46B"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Relevanță pentru strategie:</w:t>
            </w:r>
          </w:p>
        </w:tc>
        <w:tc>
          <w:tcPr>
            <w:tcW w:w="3865" w:type="pct"/>
            <w:shd w:val="clear" w:color="auto" w:fill="DEEAF6" w:themeFill="accent5" w:themeFillTint="33"/>
            <w:vAlign w:val="center"/>
          </w:tcPr>
          <w:p w14:paraId="72E0F238"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Poate susține măsuri privind digitalizarea fluxurilor de transport naval și conectarea la lanțuri logistice inteligente.</w:t>
            </w:r>
          </w:p>
        </w:tc>
      </w:tr>
    </w:tbl>
    <w:p w14:paraId="68292A47" w14:textId="77777777" w:rsidR="00AF66BB" w:rsidRPr="007D3D4F" w:rsidRDefault="00AF66BB" w:rsidP="00A61497">
      <w:pPr>
        <w:pStyle w:val="Listparagraf"/>
        <w:shd w:val="clear" w:color="auto" w:fill="767171" w:themeFill="background2" w:themeFillShade="80"/>
        <w:spacing w:before="120" w:after="120" w:line="240" w:lineRule="auto"/>
        <w:ind w:left="0"/>
        <w:jc w:val="both"/>
        <w:rPr>
          <w:rFonts w:ascii="Times New Roman" w:hAnsi="Times New Roman" w:cs="Times New Roman"/>
          <w:b/>
          <w:bCs/>
          <w:color w:val="FFFFFF" w:themeColor="background1"/>
        </w:rPr>
      </w:pPr>
      <w:r w:rsidRPr="007D3D4F">
        <w:rPr>
          <w:rFonts w:ascii="Times New Roman" w:hAnsi="Times New Roman" w:cs="Times New Roman"/>
          <w:b/>
          <w:bCs/>
          <w:color w:val="FFFFFF" w:themeColor="background1"/>
        </w:rPr>
        <w:t>Acte normative transversale cu impact asupra infrastructurii, logisticii și digitalizării transporturilor</w:t>
      </w:r>
    </w:p>
    <w:p w14:paraId="0E47C8A0"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72E86C00"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r w:rsidRPr="007D3D4F">
        <w:rPr>
          <w:rFonts w:ascii="Times New Roman" w:hAnsi="Times New Roman" w:cs="Times New Roman"/>
          <w:b/>
          <w:bCs/>
          <w:i/>
          <w:iCs/>
          <w:color w:val="000000" w:themeColor="text1"/>
        </w:rPr>
        <w:t>Directiva 2010/40/UE a Parlamentului European și a Consiliului din 7 iulie 2010 privind cadrul pentru implementarea sistemelor de transport inteligente în domeniul transportului rutier și pentru interfețele cu alte moduri de transport</w:t>
      </w:r>
      <w:r w:rsidRPr="007D3D4F">
        <w:rPr>
          <w:rStyle w:val="Referinnotdesubsol"/>
          <w:rFonts w:ascii="Times New Roman" w:hAnsi="Times New Roman" w:cs="Times New Roman"/>
          <w:b/>
          <w:bCs/>
          <w:i/>
          <w:iCs/>
          <w:color w:val="000000" w:themeColor="text1"/>
        </w:rPr>
        <w:footnoteReference w:id="13"/>
      </w:r>
    </w:p>
    <w:p w14:paraId="59843FF3"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06D51CA6" w14:textId="77777777" w:rsidTr="00A61497">
        <w:tc>
          <w:tcPr>
            <w:tcW w:w="1135" w:type="pct"/>
            <w:shd w:val="clear" w:color="auto" w:fill="DEEAF6" w:themeFill="accent5" w:themeFillTint="33"/>
            <w:vAlign w:val="center"/>
          </w:tcPr>
          <w:p w14:paraId="4196222C"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37A9C41B"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 xml:space="preserve">Stabilește cadrul pentru implementarea coordonată și interoperabilă a sistemelor de transport inteligente (ITS) în transportul rutier, precum și la punctele de interconectare cu alte moduri de transport. Prevede dezvoltarea de aplicații ITS </w:t>
            </w:r>
            <w:r w:rsidRPr="007D3D4F">
              <w:rPr>
                <w:rFonts w:ascii="Times New Roman" w:hAnsi="Times New Roman" w:cs="Times New Roman"/>
              </w:rPr>
              <w:lastRenderedPageBreak/>
              <w:t>pentru managementul traficului, informarea călătorilor, siguranța rutieră, plăți electronice, prioritizarea transportului public și logistica urbană.</w:t>
            </w:r>
          </w:p>
        </w:tc>
      </w:tr>
      <w:tr w:rsidR="00AF66BB" w:rsidRPr="007D3D4F" w14:paraId="641EF3F3" w14:textId="77777777" w:rsidTr="00A61497">
        <w:tc>
          <w:tcPr>
            <w:tcW w:w="1135" w:type="pct"/>
            <w:shd w:val="clear" w:color="auto" w:fill="DEEAF6" w:themeFill="accent5" w:themeFillTint="33"/>
            <w:vAlign w:val="center"/>
          </w:tcPr>
          <w:p w14:paraId="38B8C1CE"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lastRenderedPageBreak/>
              <w:t>Aplicabilitate:</w:t>
            </w:r>
          </w:p>
        </w:tc>
        <w:tc>
          <w:tcPr>
            <w:tcW w:w="3865" w:type="pct"/>
            <w:shd w:val="clear" w:color="auto" w:fill="DEEAF6" w:themeFill="accent5" w:themeFillTint="33"/>
            <w:vAlign w:val="center"/>
          </w:tcPr>
          <w:p w14:paraId="22EFC9D7"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A fost transpusă în România prin Ordonanţa Guvernului privind implementarea sistemelor de transport inteligente în domeniul transportului rutier şi pentru realizarea interfeţelor cu alte moduri de transport.</w:t>
            </w:r>
          </w:p>
        </w:tc>
      </w:tr>
      <w:tr w:rsidR="00AF66BB" w:rsidRPr="007D3D4F" w14:paraId="51F56FA2" w14:textId="77777777" w:rsidTr="00A61497">
        <w:tc>
          <w:tcPr>
            <w:tcW w:w="1135" w:type="pct"/>
            <w:shd w:val="clear" w:color="auto" w:fill="DEEAF6" w:themeFill="accent5" w:themeFillTint="33"/>
            <w:vAlign w:val="center"/>
          </w:tcPr>
          <w:p w14:paraId="1281AFFC"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Relevanță pentru strategie:</w:t>
            </w:r>
          </w:p>
        </w:tc>
        <w:tc>
          <w:tcPr>
            <w:tcW w:w="3865" w:type="pct"/>
            <w:shd w:val="clear" w:color="auto" w:fill="DEEAF6" w:themeFill="accent5" w:themeFillTint="33"/>
            <w:vAlign w:val="center"/>
          </w:tcPr>
          <w:p w14:paraId="14490FF2"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Este foarte relevantă pentru orice județ care dorește să digitalizeze infrastructura de transport. De asemenea, susține integrarea cu alte moduri de transport prin platforme comune și sisteme de informare multimodală.</w:t>
            </w:r>
          </w:p>
        </w:tc>
      </w:tr>
    </w:tbl>
    <w:p w14:paraId="4FC886F2"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highlight w:val="yellow"/>
        </w:rPr>
      </w:pPr>
    </w:p>
    <w:p w14:paraId="5AEDDDBC" w14:textId="77777777" w:rsidR="00AF66BB" w:rsidRPr="007D3D4F" w:rsidRDefault="00AF66BB" w:rsidP="004C072F">
      <w:pPr>
        <w:pStyle w:val="Listparagraf"/>
        <w:spacing w:before="120" w:after="120" w:line="240" w:lineRule="auto"/>
        <w:ind w:left="0"/>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Regulamentul (UE) 2024/1679 al Parlamentului European și al Consiliului din 13 iunie 2024 privind orientările Uniunii pentru dezvoltarea rețelei transeuropene de transport, de modificare a Regulamentelor (UE) 2021/1153 și (UE) nr. 913/2010 și de abrogare a Regulamentului (UE) nr. 1315/2013</w:t>
      </w:r>
      <w:r w:rsidRPr="007D3D4F">
        <w:rPr>
          <w:rStyle w:val="Referinnotdesubsol"/>
          <w:rFonts w:ascii="Times New Roman" w:hAnsi="Times New Roman" w:cs="Times New Roman"/>
          <w:b/>
          <w:bCs/>
          <w:i/>
          <w:iCs/>
          <w:color w:val="000000" w:themeColor="text1"/>
        </w:rPr>
        <w:footnoteReference w:id="14"/>
      </w:r>
    </w:p>
    <w:p w14:paraId="72605DBF" w14:textId="77777777" w:rsidR="00AF66BB" w:rsidRPr="007D3D4F" w:rsidRDefault="00AF66BB" w:rsidP="004C072F">
      <w:pPr>
        <w:pStyle w:val="Listparagraf"/>
        <w:spacing w:before="120" w:after="120" w:line="240" w:lineRule="auto"/>
        <w:ind w:left="0"/>
        <w:jc w:val="both"/>
        <w:rPr>
          <w:rFonts w:ascii="Times New Roman" w:hAnsi="Times New Roman" w:cs="Times New Roman"/>
          <w:b/>
          <w:bCs/>
          <w:i/>
          <w:iCs/>
          <w:color w:val="000000" w:themeColor="text1"/>
        </w:rPr>
      </w:pPr>
    </w:p>
    <w:tbl>
      <w:tblPr>
        <w:tblStyle w:val="TabelgrilLuminos"/>
        <w:tblW w:w="5000"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21"/>
        <w:gridCol w:w="7223"/>
      </w:tblGrid>
      <w:tr w:rsidR="00AF66BB" w:rsidRPr="007D3D4F" w14:paraId="30DF16C5" w14:textId="77777777" w:rsidTr="00A61497">
        <w:tc>
          <w:tcPr>
            <w:tcW w:w="1135" w:type="pct"/>
            <w:shd w:val="clear" w:color="auto" w:fill="DEEAF6" w:themeFill="accent5" w:themeFillTint="33"/>
            <w:vAlign w:val="center"/>
          </w:tcPr>
          <w:p w14:paraId="75F94A2A"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rPr>
              <w:t>Reglementări:</w:t>
            </w:r>
          </w:p>
        </w:tc>
        <w:tc>
          <w:tcPr>
            <w:tcW w:w="3865" w:type="pct"/>
            <w:shd w:val="clear" w:color="auto" w:fill="DEEAF6" w:themeFill="accent5" w:themeFillTint="33"/>
            <w:vAlign w:val="center"/>
          </w:tcPr>
          <w:p w14:paraId="779F2F1B" w14:textId="77777777" w:rsidR="00AF66BB" w:rsidRPr="007D3D4F" w:rsidRDefault="00AF66BB" w:rsidP="004C072F">
            <w:pPr>
              <w:spacing w:before="120" w:after="120"/>
              <w:contextualSpacing/>
              <w:jc w:val="both"/>
              <w:rPr>
                <w:rFonts w:ascii="Times New Roman" w:hAnsi="Times New Roman" w:cs="Times New Roman"/>
              </w:rPr>
            </w:pPr>
            <w:r w:rsidRPr="007D3D4F">
              <w:rPr>
                <w:rFonts w:ascii="Times New Roman" w:hAnsi="Times New Roman" w:cs="Times New Roman"/>
              </w:rPr>
              <w:t>Stabilește noul cadru pentru dezvoltarea rețelei transeuropene de transport (TEN-T), care cuprinde infrastructura rutieră, feroviară, fluvială, maritimă, aeriană și terminalele multimodale. Reglementează standarde minime pentru infrastructură (ex. electrificare, conectivitate urbană, accesibilitate), termene clare de implementare (2040–2050) și cerințe privind mobilitatea durabilă, logistica verde și digitalizarea. Înlocuiește Regulamentul (UE) nr. 1315/2013.</w:t>
            </w:r>
          </w:p>
        </w:tc>
      </w:tr>
      <w:tr w:rsidR="00AF66BB" w:rsidRPr="007D3D4F" w14:paraId="51B8223F" w14:textId="77777777" w:rsidTr="00A61497">
        <w:tc>
          <w:tcPr>
            <w:tcW w:w="1135" w:type="pct"/>
            <w:shd w:val="clear" w:color="auto" w:fill="DEEAF6" w:themeFill="accent5" w:themeFillTint="33"/>
            <w:vAlign w:val="center"/>
          </w:tcPr>
          <w:p w14:paraId="7979560F"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Aplicabilitate:</w:t>
            </w:r>
          </w:p>
        </w:tc>
        <w:tc>
          <w:tcPr>
            <w:tcW w:w="3865" w:type="pct"/>
            <w:shd w:val="clear" w:color="auto" w:fill="DEEAF6" w:themeFill="accent5" w:themeFillTint="33"/>
            <w:vAlign w:val="center"/>
          </w:tcPr>
          <w:p w14:paraId="3EE77D21" w14:textId="77777777" w:rsidR="00AF66BB" w:rsidRPr="007D3D4F" w:rsidRDefault="00AF66BB" w:rsidP="004C072F">
            <w:pPr>
              <w:pStyle w:val="Listparagraf"/>
              <w:spacing w:before="120" w:after="120"/>
              <w:ind w:left="31"/>
              <w:jc w:val="both"/>
              <w:rPr>
                <w:rFonts w:ascii="Times New Roman" w:hAnsi="Times New Roman" w:cs="Times New Roman"/>
                <w:color w:val="000000" w:themeColor="text1"/>
              </w:rPr>
            </w:pPr>
            <w:r w:rsidRPr="007D3D4F">
              <w:rPr>
                <w:rFonts w:ascii="Times New Roman" w:hAnsi="Times New Roman" w:cs="Times New Roman"/>
                <w:color w:val="000000" w:themeColor="text1"/>
              </w:rPr>
              <w:t>Fiind un regulament european, se aplică direct în toate statele membre.</w:t>
            </w:r>
          </w:p>
        </w:tc>
      </w:tr>
      <w:tr w:rsidR="00AF66BB" w:rsidRPr="007D3D4F" w14:paraId="20DA3175" w14:textId="77777777" w:rsidTr="00A61497">
        <w:tc>
          <w:tcPr>
            <w:tcW w:w="1135" w:type="pct"/>
            <w:shd w:val="clear" w:color="auto" w:fill="DEEAF6" w:themeFill="accent5" w:themeFillTint="33"/>
            <w:vAlign w:val="center"/>
          </w:tcPr>
          <w:p w14:paraId="20069AC3" w14:textId="77777777" w:rsidR="00AF66BB" w:rsidRPr="007D3D4F" w:rsidRDefault="00AF66BB" w:rsidP="004C072F">
            <w:pPr>
              <w:pStyle w:val="Listparagraf"/>
              <w:spacing w:before="120" w:after="120"/>
              <w:ind w:left="56"/>
              <w:jc w:val="center"/>
              <w:rPr>
                <w:rFonts w:ascii="Times New Roman" w:hAnsi="Times New Roman" w:cs="Times New Roman"/>
                <w:b/>
                <w:bCs/>
                <w:color w:val="000000" w:themeColor="text1"/>
              </w:rPr>
            </w:pPr>
            <w:r w:rsidRPr="007D3D4F">
              <w:rPr>
                <w:rFonts w:ascii="Times New Roman" w:hAnsi="Times New Roman" w:cs="Times New Roman"/>
                <w:b/>
                <w:bCs/>
                <w:color w:val="000000" w:themeColor="text1"/>
              </w:rPr>
              <w:t>Relevanță pentru strategie:</w:t>
            </w:r>
          </w:p>
        </w:tc>
        <w:tc>
          <w:tcPr>
            <w:tcW w:w="3865" w:type="pct"/>
            <w:shd w:val="clear" w:color="auto" w:fill="DEEAF6" w:themeFill="accent5" w:themeFillTint="33"/>
            <w:vAlign w:val="center"/>
          </w:tcPr>
          <w:p w14:paraId="386BF671" w14:textId="77777777" w:rsidR="00AF66BB" w:rsidRPr="007D3D4F" w:rsidRDefault="00AF66BB" w:rsidP="004C072F">
            <w:pPr>
              <w:pStyle w:val="Listparagraf"/>
              <w:spacing w:before="120" w:after="120"/>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Oferă bază legală și tehnică pentru atragerea de fonduri europene în infrastructura județeană de transport, în special în scopul dezvoltării de noduri multimodale, conectivității între moduri de transport și tranziției către mobilitate verde.</w:t>
            </w:r>
          </w:p>
        </w:tc>
      </w:tr>
    </w:tbl>
    <w:p w14:paraId="6DA81843" w14:textId="77777777" w:rsidR="00AF66BB" w:rsidRPr="007D3D4F" w:rsidRDefault="00AF66BB" w:rsidP="004C072F">
      <w:pPr>
        <w:pStyle w:val="Smn"/>
        <w:contextualSpacing/>
        <w:rPr>
          <w:rFonts w:ascii="Times New Roman" w:hAnsi="Times New Roman" w:cs="Times New Roman"/>
          <w:sz w:val="22"/>
          <w:szCs w:val="22"/>
        </w:rPr>
      </w:pPr>
    </w:p>
    <w:p w14:paraId="64B7BC79"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Pe lângă actele normative europene prezentate, care constituie cadrul strategic și obligatoriu pentru politicile de transport, legislația națională cuprinde numeroase alte reglementări aplicabile în domeniul transporturilor – inclusiv ordine de ministru, hotărâri de guvern și reglementări tehnice (ex. autorizarea infrastructurii, omologări, norme rutiere și feroviare). Acestea nu au fost detaliate în cadrul prezentei strategii, întrucât au un caracter aplicativ sau procedural, fără a influența în mod direct direcțiile strategice și prioritățile de dezvoltare la nivel județean. Implementarea măsurilor din strategie se va face cu respectarea integrală a cadrului normativ național în vigoare.</w:t>
      </w:r>
    </w:p>
    <w:p w14:paraId="4EF25309" w14:textId="77777777" w:rsidR="00E70AB1" w:rsidRPr="007D3D4F" w:rsidRDefault="00E70AB1" w:rsidP="004C072F">
      <w:pPr>
        <w:pStyle w:val="Smn"/>
        <w:contextualSpacing/>
        <w:rPr>
          <w:rFonts w:ascii="Times New Roman" w:hAnsi="Times New Roman" w:cs="Times New Roman"/>
          <w:sz w:val="22"/>
          <w:szCs w:val="22"/>
        </w:rPr>
      </w:pPr>
    </w:p>
    <w:p w14:paraId="77C64ACA" w14:textId="77777777" w:rsidR="00AF66BB" w:rsidRPr="007D3D4F" w:rsidRDefault="00AF66BB" w:rsidP="004C072F">
      <w:pPr>
        <w:pStyle w:val="Titlu2"/>
        <w:spacing w:before="120" w:after="120" w:line="240" w:lineRule="auto"/>
        <w:contextualSpacing/>
        <w:rPr>
          <w:rFonts w:ascii="Times New Roman" w:hAnsi="Times New Roman" w:cs="Times New Roman"/>
          <w:b/>
          <w:bCs/>
          <w:color w:val="auto"/>
          <w:sz w:val="22"/>
          <w:szCs w:val="22"/>
        </w:rPr>
      </w:pPr>
      <w:bookmarkStart w:id="4" w:name="_Toc201653606"/>
      <w:r w:rsidRPr="007D3D4F">
        <w:rPr>
          <w:rFonts w:ascii="Times New Roman" w:hAnsi="Times New Roman" w:cs="Times New Roman"/>
          <w:b/>
          <w:bCs/>
          <w:color w:val="auto"/>
          <w:sz w:val="22"/>
          <w:szCs w:val="22"/>
        </w:rPr>
        <w:t>2.2. Evoluții ale politicilor europene în transport durabil (2007–prezent)</w:t>
      </w:r>
      <w:bookmarkEnd w:id="4"/>
    </w:p>
    <w:p w14:paraId="6FCBD025"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000000" w:themeColor="text1"/>
        </w:rPr>
      </w:pPr>
      <w:r w:rsidRPr="007D3D4F">
        <w:rPr>
          <w:rFonts w:ascii="Times New Roman" w:eastAsiaTheme="majorEastAsia" w:hAnsi="Times New Roman" w:cs="Times New Roman"/>
          <w:color w:val="000000" w:themeColor="text1"/>
        </w:rPr>
        <w:t>În continuare este ilustrată evoluția principalelor inițiative strategice ale UE în domeniul transportului durabil din perioada 2007 până în prezent.</w:t>
      </w:r>
    </w:p>
    <w:p w14:paraId="78FD1559" w14:textId="06AC9A21"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bookmarkStart w:id="5" w:name="_Toc144194703"/>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Evoluția cadrului strategic comunitar privind politica în domeniul transportului durabil în perioada 2007 –prezent</w:t>
      </w:r>
      <w:bookmarkEnd w:id="5"/>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2116"/>
        <w:gridCol w:w="1418"/>
        <w:gridCol w:w="5810"/>
      </w:tblGrid>
      <w:tr w:rsidR="00AF66BB" w:rsidRPr="007D3D4F" w14:paraId="41035281" w14:textId="77777777" w:rsidTr="00A61497">
        <w:trPr>
          <w:trHeight w:val="392"/>
          <w:jc w:val="center"/>
        </w:trPr>
        <w:tc>
          <w:tcPr>
            <w:tcW w:w="1132" w:type="pct"/>
            <w:shd w:val="clear" w:color="auto" w:fill="3B3838" w:themeFill="background2" w:themeFillShade="40"/>
            <w:vAlign w:val="center"/>
          </w:tcPr>
          <w:p w14:paraId="2028E58E" w14:textId="77777777" w:rsidR="00AF66BB" w:rsidRPr="007D3D4F" w:rsidRDefault="00AF66BB" w:rsidP="001012BD">
            <w:pPr>
              <w:pStyle w:val="Smn"/>
              <w:spacing w:before="0" w:after="0"/>
              <w:contextualSpacing/>
              <w:jc w:val="center"/>
              <w:rPr>
                <w:rFonts w:ascii="Times New Roman" w:hAnsi="Times New Roman" w:cs="Times New Roman"/>
                <w:b/>
                <w:bCs/>
                <w:color w:val="FFFFFF" w:themeColor="background1"/>
                <w:spacing w:val="-6"/>
                <w:sz w:val="22"/>
                <w:szCs w:val="22"/>
              </w:rPr>
            </w:pPr>
            <w:r w:rsidRPr="007D3D4F">
              <w:rPr>
                <w:rFonts w:ascii="Times New Roman" w:hAnsi="Times New Roman" w:cs="Times New Roman"/>
                <w:b/>
                <w:bCs/>
                <w:color w:val="FFFFFF" w:themeColor="background1"/>
                <w:spacing w:val="-6"/>
                <w:sz w:val="22"/>
                <w:szCs w:val="22"/>
              </w:rPr>
              <w:t>Anul</w:t>
            </w:r>
          </w:p>
        </w:tc>
        <w:tc>
          <w:tcPr>
            <w:tcW w:w="759" w:type="pct"/>
            <w:shd w:val="clear" w:color="auto" w:fill="3B3838" w:themeFill="background2" w:themeFillShade="40"/>
            <w:vAlign w:val="center"/>
          </w:tcPr>
          <w:p w14:paraId="5BFB338E" w14:textId="77777777" w:rsidR="00AF66BB" w:rsidRPr="007D3D4F" w:rsidRDefault="00AF66BB" w:rsidP="001012BD">
            <w:pPr>
              <w:pStyle w:val="Smn"/>
              <w:spacing w:before="0" w:after="0"/>
              <w:contextualSpacing/>
              <w:rPr>
                <w:rFonts w:ascii="Times New Roman" w:hAnsi="Times New Roman" w:cs="Times New Roman"/>
                <w:b/>
                <w:bCs/>
                <w:color w:val="FFFFFF" w:themeColor="background1"/>
                <w:spacing w:val="-6"/>
                <w:sz w:val="22"/>
                <w:szCs w:val="22"/>
              </w:rPr>
            </w:pPr>
          </w:p>
        </w:tc>
        <w:tc>
          <w:tcPr>
            <w:tcW w:w="3109" w:type="pct"/>
            <w:shd w:val="clear" w:color="auto" w:fill="3B3838" w:themeFill="background2" w:themeFillShade="40"/>
            <w:vAlign w:val="center"/>
          </w:tcPr>
          <w:p w14:paraId="4EF5A68D" w14:textId="77777777" w:rsidR="00AF66BB" w:rsidRPr="007D3D4F" w:rsidRDefault="00AF66BB" w:rsidP="001012BD">
            <w:pPr>
              <w:pStyle w:val="Smn"/>
              <w:spacing w:before="0" w:after="0"/>
              <w:contextualSpacing/>
              <w:jc w:val="center"/>
              <w:rPr>
                <w:rFonts w:ascii="Times New Roman" w:hAnsi="Times New Roman" w:cs="Times New Roman"/>
                <w:b/>
                <w:bCs/>
                <w:color w:val="FFFFFF" w:themeColor="background1"/>
                <w:spacing w:val="-6"/>
                <w:sz w:val="22"/>
                <w:szCs w:val="22"/>
              </w:rPr>
            </w:pPr>
            <w:r w:rsidRPr="007D3D4F">
              <w:rPr>
                <w:rFonts w:ascii="Times New Roman" w:hAnsi="Times New Roman" w:cs="Times New Roman"/>
                <w:b/>
                <w:bCs/>
                <w:color w:val="FFFFFF" w:themeColor="background1"/>
                <w:spacing w:val="-6"/>
                <w:sz w:val="22"/>
                <w:szCs w:val="22"/>
              </w:rPr>
              <w:t>Politici</w:t>
            </w:r>
          </w:p>
        </w:tc>
      </w:tr>
      <w:tr w:rsidR="00AF66BB" w:rsidRPr="007D3D4F" w14:paraId="73926540" w14:textId="77777777" w:rsidTr="00A61497">
        <w:trPr>
          <w:trHeight w:val="511"/>
          <w:jc w:val="center"/>
        </w:trPr>
        <w:tc>
          <w:tcPr>
            <w:tcW w:w="1132" w:type="pct"/>
            <w:shd w:val="clear" w:color="auto" w:fill="E7E6E6" w:themeFill="background2"/>
            <w:vAlign w:val="center"/>
          </w:tcPr>
          <w:p w14:paraId="3780EC31" w14:textId="77777777" w:rsidR="00AF66BB" w:rsidRPr="007D3D4F" w:rsidRDefault="00AF66BB" w:rsidP="001012BD">
            <w:pPr>
              <w:pStyle w:val="Smn"/>
              <w:spacing w:before="0" w:after="0"/>
              <w:contextualSpacing/>
              <w:jc w:val="center"/>
              <w:rPr>
                <w:rFonts w:ascii="Times New Roman" w:hAnsi="Times New Roman" w:cs="Times New Roman"/>
                <w:spacing w:val="-6"/>
                <w:sz w:val="22"/>
                <w:szCs w:val="22"/>
              </w:rPr>
            </w:pPr>
            <w:r w:rsidRPr="007D3D4F">
              <w:rPr>
                <w:rFonts w:ascii="Times New Roman" w:hAnsi="Times New Roman" w:cs="Times New Roman"/>
                <w:spacing w:val="-6"/>
                <w:sz w:val="22"/>
                <w:szCs w:val="22"/>
              </w:rPr>
              <w:t>2011</w:t>
            </w:r>
          </w:p>
        </w:tc>
        <w:tc>
          <w:tcPr>
            <w:tcW w:w="759" w:type="pct"/>
            <w:shd w:val="clear" w:color="auto" w:fill="E7E6E6" w:themeFill="background2"/>
            <w:vAlign w:val="center"/>
          </w:tcPr>
          <w:p w14:paraId="67F1D8A8" w14:textId="77777777" w:rsidR="00AF66BB" w:rsidRPr="007D3D4F" w:rsidRDefault="00AF66BB" w:rsidP="00D81598">
            <w:pPr>
              <w:pStyle w:val="Smn"/>
              <w:numPr>
                <w:ilvl w:val="0"/>
                <w:numId w:val="3"/>
              </w:numPr>
              <w:spacing w:before="0" w:after="0"/>
              <w:contextualSpacing/>
              <w:jc w:val="center"/>
              <w:rPr>
                <w:rFonts w:ascii="Times New Roman" w:hAnsi="Times New Roman" w:cs="Times New Roman"/>
                <w:spacing w:val="-6"/>
                <w:sz w:val="22"/>
                <w:szCs w:val="22"/>
              </w:rPr>
            </w:pPr>
          </w:p>
        </w:tc>
        <w:tc>
          <w:tcPr>
            <w:tcW w:w="3109" w:type="pct"/>
            <w:shd w:val="clear" w:color="auto" w:fill="E7E6E6" w:themeFill="background2"/>
            <w:vAlign w:val="center"/>
          </w:tcPr>
          <w:p w14:paraId="4411A276" w14:textId="77777777" w:rsidR="00AF66BB" w:rsidRPr="007D3D4F" w:rsidRDefault="00AF66BB" w:rsidP="001012BD">
            <w:pPr>
              <w:pStyle w:val="Smn"/>
              <w:spacing w:before="0" w:after="0"/>
              <w:contextualSpacing/>
              <w:rPr>
                <w:rFonts w:ascii="Times New Roman" w:hAnsi="Times New Roman" w:cs="Times New Roman"/>
                <w:spacing w:val="-6"/>
                <w:sz w:val="22"/>
                <w:szCs w:val="22"/>
              </w:rPr>
            </w:pPr>
            <w:r w:rsidRPr="007D3D4F">
              <w:rPr>
                <w:rFonts w:ascii="Times New Roman" w:hAnsi="Times New Roman" w:cs="Times New Roman"/>
                <w:spacing w:val="-6"/>
                <w:sz w:val="22"/>
                <w:szCs w:val="22"/>
              </w:rPr>
              <w:t>Carte Albă a politicii transporturilor</w:t>
            </w:r>
          </w:p>
        </w:tc>
      </w:tr>
      <w:tr w:rsidR="00AF66BB" w:rsidRPr="007D3D4F" w14:paraId="6B0A5229" w14:textId="77777777" w:rsidTr="00A61497">
        <w:trPr>
          <w:trHeight w:val="533"/>
          <w:jc w:val="center"/>
        </w:trPr>
        <w:tc>
          <w:tcPr>
            <w:tcW w:w="1132" w:type="pct"/>
            <w:shd w:val="clear" w:color="auto" w:fill="E7E6E6" w:themeFill="background2"/>
            <w:vAlign w:val="center"/>
          </w:tcPr>
          <w:p w14:paraId="52434707" w14:textId="77777777" w:rsidR="00AF66BB" w:rsidRPr="007D3D4F" w:rsidRDefault="00AF66BB" w:rsidP="001012BD">
            <w:pPr>
              <w:pStyle w:val="Smn"/>
              <w:spacing w:before="0" w:after="0"/>
              <w:contextualSpacing/>
              <w:jc w:val="center"/>
              <w:rPr>
                <w:rFonts w:ascii="Times New Roman" w:hAnsi="Times New Roman" w:cs="Times New Roman"/>
                <w:spacing w:val="-6"/>
                <w:sz w:val="22"/>
                <w:szCs w:val="22"/>
              </w:rPr>
            </w:pPr>
            <w:r w:rsidRPr="007D3D4F">
              <w:rPr>
                <w:rFonts w:ascii="Times New Roman" w:hAnsi="Times New Roman" w:cs="Times New Roman"/>
                <w:spacing w:val="-6"/>
                <w:sz w:val="22"/>
                <w:szCs w:val="22"/>
              </w:rPr>
              <w:t>2011</w:t>
            </w:r>
          </w:p>
        </w:tc>
        <w:tc>
          <w:tcPr>
            <w:tcW w:w="759" w:type="pct"/>
            <w:shd w:val="clear" w:color="auto" w:fill="E7E6E6" w:themeFill="background2"/>
            <w:vAlign w:val="center"/>
          </w:tcPr>
          <w:p w14:paraId="7A08BE44" w14:textId="77777777" w:rsidR="00AF66BB" w:rsidRPr="007D3D4F" w:rsidRDefault="00AF66BB" w:rsidP="00D81598">
            <w:pPr>
              <w:pStyle w:val="Smn"/>
              <w:numPr>
                <w:ilvl w:val="0"/>
                <w:numId w:val="3"/>
              </w:numPr>
              <w:spacing w:before="0" w:after="0"/>
              <w:contextualSpacing/>
              <w:jc w:val="center"/>
              <w:rPr>
                <w:rFonts w:ascii="Times New Roman" w:hAnsi="Times New Roman" w:cs="Times New Roman"/>
                <w:spacing w:val="-6"/>
                <w:sz w:val="22"/>
                <w:szCs w:val="22"/>
              </w:rPr>
            </w:pPr>
          </w:p>
        </w:tc>
        <w:tc>
          <w:tcPr>
            <w:tcW w:w="3109" w:type="pct"/>
            <w:shd w:val="clear" w:color="auto" w:fill="E7E6E6" w:themeFill="background2"/>
            <w:vAlign w:val="center"/>
          </w:tcPr>
          <w:p w14:paraId="3C783808" w14:textId="77777777" w:rsidR="00AF66BB" w:rsidRPr="007D3D4F" w:rsidRDefault="00AF66BB" w:rsidP="001012BD">
            <w:pPr>
              <w:pStyle w:val="Smn"/>
              <w:spacing w:before="0" w:after="0"/>
              <w:contextualSpacing/>
              <w:rPr>
                <w:rFonts w:ascii="Times New Roman" w:hAnsi="Times New Roman" w:cs="Times New Roman"/>
                <w:spacing w:val="-6"/>
                <w:sz w:val="22"/>
                <w:szCs w:val="22"/>
              </w:rPr>
            </w:pPr>
            <w:r w:rsidRPr="007D3D4F">
              <w:rPr>
                <w:rFonts w:ascii="Times New Roman" w:hAnsi="Times New Roman" w:cs="Times New Roman"/>
                <w:spacing w:val="-6"/>
                <w:sz w:val="22"/>
                <w:szCs w:val="22"/>
              </w:rPr>
              <w:t>Mecanismul pentru interconectarea Europei</w:t>
            </w:r>
          </w:p>
        </w:tc>
      </w:tr>
      <w:tr w:rsidR="00AF66BB" w:rsidRPr="007D3D4F" w14:paraId="027597E8" w14:textId="77777777" w:rsidTr="00A61497">
        <w:trPr>
          <w:trHeight w:val="541"/>
          <w:jc w:val="center"/>
        </w:trPr>
        <w:tc>
          <w:tcPr>
            <w:tcW w:w="1132" w:type="pct"/>
            <w:shd w:val="clear" w:color="auto" w:fill="E7E6E6" w:themeFill="background2"/>
            <w:vAlign w:val="center"/>
          </w:tcPr>
          <w:p w14:paraId="05FEE523" w14:textId="77777777" w:rsidR="00AF66BB" w:rsidRPr="007D3D4F" w:rsidRDefault="00AF66BB" w:rsidP="001012BD">
            <w:pPr>
              <w:pStyle w:val="Smn"/>
              <w:spacing w:before="0" w:after="0"/>
              <w:contextualSpacing/>
              <w:jc w:val="center"/>
              <w:rPr>
                <w:rFonts w:ascii="Times New Roman" w:hAnsi="Times New Roman" w:cs="Times New Roman"/>
                <w:spacing w:val="-6"/>
                <w:sz w:val="22"/>
                <w:szCs w:val="22"/>
              </w:rPr>
            </w:pPr>
            <w:r w:rsidRPr="007D3D4F">
              <w:rPr>
                <w:rFonts w:ascii="Times New Roman" w:hAnsi="Times New Roman" w:cs="Times New Roman"/>
                <w:spacing w:val="-6"/>
                <w:sz w:val="22"/>
                <w:szCs w:val="22"/>
              </w:rPr>
              <w:t>2013-2019</w:t>
            </w:r>
          </w:p>
        </w:tc>
        <w:tc>
          <w:tcPr>
            <w:tcW w:w="759" w:type="pct"/>
            <w:shd w:val="clear" w:color="auto" w:fill="E7E6E6" w:themeFill="background2"/>
            <w:vAlign w:val="center"/>
          </w:tcPr>
          <w:p w14:paraId="1EA9151B" w14:textId="77777777" w:rsidR="00AF66BB" w:rsidRPr="007D3D4F" w:rsidRDefault="00AF66BB" w:rsidP="00D81598">
            <w:pPr>
              <w:pStyle w:val="Smn"/>
              <w:numPr>
                <w:ilvl w:val="0"/>
                <w:numId w:val="3"/>
              </w:numPr>
              <w:spacing w:before="0" w:after="0"/>
              <w:contextualSpacing/>
              <w:jc w:val="center"/>
              <w:rPr>
                <w:rFonts w:ascii="Times New Roman" w:hAnsi="Times New Roman" w:cs="Times New Roman"/>
                <w:spacing w:val="-6"/>
                <w:sz w:val="22"/>
                <w:szCs w:val="22"/>
              </w:rPr>
            </w:pPr>
          </w:p>
        </w:tc>
        <w:tc>
          <w:tcPr>
            <w:tcW w:w="3109" w:type="pct"/>
            <w:shd w:val="clear" w:color="auto" w:fill="E7E6E6" w:themeFill="background2"/>
            <w:vAlign w:val="center"/>
          </w:tcPr>
          <w:p w14:paraId="579B78C9" w14:textId="77777777" w:rsidR="00AF66BB" w:rsidRPr="007D3D4F" w:rsidRDefault="00AF66BB" w:rsidP="001012BD">
            <w:pPr>
              <w:pStyle w:val="Smn"/>
              <w:spacing w:before="0" w:after="0"/>
              <w:contextualSpacing/>
              <w:rPr>
                <w:rFonts w:ascii="Times New Roman" w:hAnsi="Times New Roman" w:cs="Times New Roman"/>
                <w:spacing w:val="-6"/>
                <w:sz w:val="22"/>
                <w:szCs w:val="22"/>
              </w:rPr>
            </w:pPr>
            <w:r w:rsidRPr="007D3D4F">
              <w:rPr>
                <w:rFonts w:ascii="Times New Roman" w:hAnsi="Times New Roman" w:cs="Times New Roman"/>
                <w:spacing w:val="-6"/>
                <w:sz w:val="22"/>
                <w:szCs w:val="22"/>
              </w:rPr>
              <w:t>Pachet de mobilitate urbană</w:t>
            </w:r>
          </w:p>
        </w:tc>
      </w:tr>
      <w:tr w:rsidR="00AF66BB" w:rsidRPr="007D3D4F" w14:paraId="0B99A35E" w14:textId="77777777" w:rsidTr="00A61497">
        <w:trPr>
          <w:trHeight w:val="535"/>
          <w:jc w:val="center"/>
        </w:trPr>
        <w:tc>
          <w:tcPr>
            <w:tcW w:w="1132" w:type="pct"/>
            <w:shd w:val="clear" w:color="auto" w:fill="E7E6E6" w:themeFill="background2"/>
            <w:vAlign w:val="center"/>
          </w:tcPr>
          <w:p w14:paraId="74514D6F" w14:textId="77777777" w:rsidR="00AF66BB" w:rsidRPr="007D3D4F" w:rsidRDefault="00AF66BB" w:rsidP="001012BD">
            <w:pPr>
              <w:pStyle w:val="Smn"/>
              <w:spacing w:before="0" w:after="0"/>
              <w:contextualSpacing/>
              <w:jc w:val="center"/>
              <w:rPr>
                <w:rFonts w:ascii="Times New Roman" w:hAnsi="Times New Roman" w:cs="Times New Roman"/>
                <w:spacing w:val="-6"/>
                <w:sz w:val="22"/>
                <w:szCs w:val="22"/>
              </w:rPr>
            </w:pPr>
            <w:r w:rsidRPr="007D3D4F">
              <w:rPr>
                <w:rFonts w:ascii="Times New Roman" w:hAnsi="Times New Roman" w:cs="Times New Roman"/>
                <w:spacing w:val="-6"/>
                <w:sz w:val="22"/>
                <w:szCs w:val="22"/>
              </w:rPr>
              <w:t>2016</w:t>
            </w:r>
          </w:p>
        </w:tc>
        <w:tc>
          <w:tcPr>
            <w:tcW w:w="759" w:type="pct"/>
            <w:shd w:val="clear" w:color="auto" w:fill="E7E6E6" w:themeFill="background2"/>
            <w:vAlign w:val="center"/>
          </w:tcPr>
          <w:p w14:paraId="6E149755" w14:textId="77777777" w:rsidR="00AF66BB" w:rsidRPr="007D3D4F" w:rsidRDefault="00AF66BB" w:rsidP="00D81598">
            <w:pPr>
              <w:pStyle w:val="Smn"/>
              <w:numPr>
                <w:ilvl w:val="0"/>
                <w:numId w:val="3"/>
              </w:numPr>
              <w:spacing w:before="0" w:after="0"/>
              <w:contextualSpacing/>
              <w:jc w:val="center"/>
              <w:rPr>
                <w:rFonts w:ascii="Times New Roman" w:hAnsi="Times New Roman" w:cs="Times New Roman"/>
                <w:spacing w:val="-6"/>
                <w:sz w:val="22"/>
                <w:szCs w:val="22"/>
              </w:rPr>
            </w:pPr>
          </w:p>
        </w:tc>
        <w:tc>
          <w:tcPr>
            <w:tcW w:w="3109" w:type="pct"/>
            <w:shd w:val="clear" w:color="auto" w:fill="E7E6E6" w:themeFill="background2"/>
            <w:vAlign w:val="center"/>
          </w:tcPr>
          <w:p w14:paraId="26FE79F6" w14:textId="77777777" w:rsidR="00AF66BB" w:rsidRPr="007D3D4F" w:rsidRDefault="00AF66BB" w:rsidP="001012BD">
            <w:pPr>
              <w:pStyle w:val="Smn"/>
              <w:spacing w:before="0" w:after="0"/>
              <w:contextualSpacing/>
              <w:rPr>
                <w:rFonts w:ascii="Times New Roman" w:hAnsi="Times New Roman" w:cs="Times New Roman"/>
                <w:spacing w:val="-6"/>
                <w:sz w:val="22"/>
                <w:szCs w:val="22"/>
              </w:rPr>
            </w:pPr>
            <w:r w:rsidRPr="007D3D4F">
              <w:rPr>
                <w:rFonts w:ascii="Times New Roman" w:hAnsi="Times New Roman" w:cs="Times New Roman"/>
                <w:spacing w:val="-6"/>
                <w:sz w:val="22"/>
                <w:szCs w:val="22"/>
              </w:rPr>
              <w:t>Strategia europeană pentru mobilitate cu emisii reduse</w:t>
            </w:r>
          </w:p>
        </w:tc>
      </w:tr>
      <w:tr w:rsidR="00AF66BB" w:rsidRPr="007D3D4F" w14:paraId="780FF36C" w14:textId="77777777" w:rsidTr="00A61497">
        <w:trPr>
          <w:trHeight w:val="543"/>
          <w:jc w:val="center"/>
        </w:trPr>
        <w:tc>
          <w:tcPr>
            <w:tcW w:w="1132" w:type="pct"/>
            <w:shd w:val="clear" w:color="auto" w:fill="E7E6E6" w:themeFill="background2"/>
            <w:vAlign w:val="center"/>
          </w:tcPr>
          <w:p w14:paraId="201D0E30" w14:textId="77777777" w:rsidR="00AF66BB" w:rsidRPr="007D3D4F" w:rsidRDefault="00AF66BB" w:rsidP="001012BD">
            <w:pPr>
              <w:pStyle w:val="Smn"/>
              <w:spacing w:before="0" w:after="0"/>
              <w:contextualSpacing/>
              <w:jc w:val="center"/>
              <w:rPr>
                <w:rFonts w:ascii="Times New Roman" w:hAnsi="Times New Roman" w:cs="Times New Roman"/>
                <w:spacing w:val="-6"/>
                <w:sz w:val="22"/>
                <w:szCs w:val="22"/>
              </w:rPr>
            </w:pPr>
            <w:r w:rsidRPr="007D3D4F">
              <w:rPr>
                <w:rFonts w:ascii="Times New Roman" w:hAnsi="Times New Roman" w:cs="Times New Roman"/>
                <w:spacing w:val="-6"/>
                <w:sz w:val="22"/>
                <w:szCs w:val="22"/>
              </w:rPr>
              <w:t>2019-prezent</w:t>
            </w:r>
          </w:p>
        </w:tc>
        <w:tc>
          <w:tcPr>
            <w:tcW w:w="759" w:type="pct"/>
            <w:shd w:val="clear" w:color="auto" w:fill="E7E6E6" w:themeFill="background2"/>
            <w:vAlign w:val="center"/>
          </w:tcPr>
          <w:p w14:paraId="15B61464" w14:textId="77777777" w:rsidR="00AF66BB" w:rsidRPr="007D3D4F" w:rsidRDefault="00AF66BB" w:rsidP="00D81598">
            <w:pPr>
              <w:pStyle w:val="Smn"/>
              <w:numPr>
                <w:ilvl w:val="0"/>
                <w:numId w:val="3"/>
              </w:numPr>
              <w:spacing w:before="0" w:after="0"/>
              <w:contextualSpacing/>
              <w:jc w:val="center"/>
              <w:rPr>
                <w:rFonts w:ascii="Times New Roman" w:hAnsi="Times New Roman" w:cs="Times New Roman"/>
                <w:spacing w:val="-6"/>
                <w:sz w:val="22"/>
                <w:szCs w:val="22"/>
              </w:rPr>
            </w:pPr>
          </w:p>
        </w:tc>
        <w:tc>
          <w:tcPr>
            <w:tcW w:w="3109" w:type="pct"/>
            <w:shd w:val="clear" w:color="auto" w:fill="E7E6E6" w:themeFill="background2"/>
            <w:vAlign w:val="center"/>
          </w:tcPr>
          <w:p w14:paraId="053908B6" w14:textId="77777777" w:rsidR="00AF66BB" w:rsidRPr="007D3D4F" w:rsidRDefault="00AF66BB" w:rsidP="001012BD">
            <w:pPr>
              <w:pStyle w:val="Smn"/>
              <w:spacing w:before="0" w:after="0"/>
              <w:contextualSpacing/>
              <w:rPr>
                <w:rFonts w:ascii="Times New Roman" w:hAnsi="Times New Roman" w:cs="Times New Roman"/>
                <w:spacing w:val="-6"/>
                <w:sz w:val="22"/>
                <w:szCs w:val="22"/>
              </w:rPr>
            </w:pPr>
            <w:r w:rsidRPr="007D3D4F">
              <w:rPr>
                <w:rFonts w:ascii="Times New Roman" w:hAnsi="Times New Roman" w:cs="Times New Roman"/>
                <w:spacing w:val="-6"/>
                <w:sz w:val="22"/>
                <w:szCs w:val="22"/>
              </w:rPr>
              <w:t>Pactul Verde European</w:t>
            </w:r>
          </w:p>
        </w:tc>
      </w:tr>
      <w:tr w:rsidR="00AF66BB" w:rsidRPr="007D3D4F" w14:paraId="7197DD9C" w14:textId="77777777" w:rsidTr="00A61497">
        <w:trPr>
          <w:trHeight w:val="537"/>
          <w:jc w:val="center"/>
        </w:trPr>
        <w:tc>
          <w:tcPr>
            <w:tcW w:w="1132" w:type="pct"/>
            <w:shd w:val="clear" w:color="auto" w:fill="E7E6E6" w:themeFill="background2"/>
            <w:vAlign w:val="center"/>
          </w:tcPr>
          <w:p w14:paraId="16FA771D" w14:textId="77777777" w:rsidR="00AF66BB" w:rsidRPr="007D3D4F" w:rsidRDefault="00AF66BB" w:rsidP="001012BD">
            <w:pPr>
              <w:pStyle w:val="Smn"/>
              <w:spacing w:before="0" w:after="0"/>
              <w:contextualSpacing/>
              <w:jc w:val="center"/>
              <w:rPr>
                <w:rFonts w:ascii="Times New Roman" w:hAnsi="Times New Roman" w:cs="Times New Roman"/>
                <w:spacing w:val="-6"/>
                <w:sz w:val="22"/>
                <w:szCs w:val="22"/>
              </w:rPr>
            </w:pPr>
            <w:r w:rsidRPr="007D3D4F">
              <w:rPr>
                <w:rFonts w:ascii="Times New Roman" w:hAnsi="Times New Roman" w:cs="Times New Roman"/>
                <w:spacing w:val="-6"/>
                <w:sz w:val="22"/>
                <w:szCs w:val="22"/>
              </w:rPr>
              <w:t>2020</w:t>
            </w:r>
          </w:p>
        </w:tc>
        <w:tc>
          <w:tcPr>
            <w:tcW w:w="759" w:type="pct"/>
            <w:shd w:val="clear" w:color="auto" w:fill="E7E6E6" w:themeFill="background2"/>
            <w:vAlign w:val="center"/>
          </w:tcPr>
          <w:p w14:paraId="21B85733" w14:textId="77777777" w:rsidR="00AF66BB" w:rsidRPr="007D3D4F" w:rsidRDefault="00AF66BB" w:rsidP="00D81598">
            <w:pPr>
              <w:pStyle w:val="Smn"/>
              <w:numPr>
                <w:ilvl w:val="0"/>
                <w:numId w:val="3"/>
              </w:numPr>
              <w:spacing w:before="0" w:after="0"/>
              <w:contextualSpacing/>
              <w:jc w:val="center"/>
              <w:rPr>
                <w:rFonts w:ascii="Times New Roman" w:hAnsi="Times New Roman" w:cs="Times New Roman"/>
                <w:spacing w:val="-6"/>
                <w:sz w:val="22"/>
                <w:szCs w:val="22"/>
              </w:rPr>
            </w:pPr>
          </w:p>
        </w:tc>
        <w:tc>
          <w:tcPr>
            <w:tcW w:w="3109" w:type="pct"/>
            <w:shd w:val="clear" w:color="auto" w:fill="E7E6E6" w:themeFill="background2"/>
            <w:vAlign w:val="center"/>
          </w:tcPr>
          <w:p w14:paraId="37F5F3D4" w14:textId="77777777" w:rsidR="00AF66BB" w:rsidRPr="007D3D4F" w:rsidRDefault="00AF66BB" w:rsidP="001012BD">
            <w:pPr>
              <w:pStyle w:val="Smn"/>
              <w:spacing w:before="0" w:after="0"/>
              <w:contextualSpacing/>
              <w:rPr>
                <w:rFonts w:ascii="Times New Roman" w:hAnsi="Times New Roman" w:cs="Times New Roman"/>
                <w:spacing w:val="-6"/>
                <w:sz w:val="22"/>
                <w:szCs w:val="22"/>
              </w:rPr>
            </w:pPr>
            <w:r w:rsidRPr="007D3D4F">
              <w:rPr>
                <w:rFonts w:ascii="Times New Roman" w:hAnsi="Times New Roman" w:cs="Times New Roman"/>
                <w:spacing w:val="-6"/>
                <w:sz w:val="22"/>
                <w:szCs w:val="22"/>
              </w:rPr>
              <w:t>Strategia UE pentru mobilitate durabilă și inteligentă</w:t>
            </w:r>
          </w:p>
        </w:tc>
      </w:tr>
      <w:tr w:rsidR="00AF66BB" w:rsidRPr="007D3D4F" w14:paraId="529588E7" w14:textId="77777777" w:rsidTr="00A61497">
        <w:trPr>
          <w:trHeight w:val="531"/>
          <w:jc w:val="center"/>
        </w:trPr>
        <w:tc>
          <w:tcPr>
            <w:tcW w:w="1132" w:type="pct"/>
            <w:shd w:val="clear" w:color="auto" w:fill="E7E6E6" w:themeFill="background2"/>
            <w:vAlign w:val="center"/>
          </w:tcPr>
          <w:p w14:paraId="6A1DA274" w14:textId="77777777" w:rsidR="00AF66BB" w:rsidRPr="007D3D4F" w:rsidRDefault="00AF66BB" w:rsidP="001012BD">
            <w:pPr>
              <w:pStyle w:val="Smn"/>
              <w:spacing w:before="0" w:after="0"/>
              <w:contextualSpacing/>
              <w:jc w:val="center"/>
              <w:rPr>
                <w:rFonts w:ascii="Times New Roman" w:hAnsi="Times New Roman" w:cs="Times New Roman"/>
                <w:spacing w:val="-6"/>
                <w:sz w:val="22"/>
                <w:szCs w:val="22"/>
              </w:rPr>
            </w:pPr>
            <w:r w:rsidRPr="007D3D4F">
              <w:rPr>
                <w:rFonts w:ascii="Times New Roman" w:hAnsi="Times New Roman" w:cs="Times New Roman"/>
                <w:spacing w:val="-6"/>
                <w:sz w:val="22"/>
                <w:szCs w:val="22"/>
              </w:rPr>
              <w:t>2021</w:t>
            </w:r>
          </w:p>
        </w:tc>
        <w:tc>
          <w:tcPr>
            <w:tcW w:w="759" w:type="pct"/>
            <w:shd w:val="clear" w:color="auto" w:fill="E7E6E6" w:themeFill="background2"/>
            <w:vAlign w:val="center"/>
          </w:tcPr>
          <w:p w14:paraId="0DEE34DA" w14:textId="77777777" w:rsidR="00AF66BB" w:rsidRPr="007D3D4F" w:rsidRDefault="00AF66BB" w:rsidP="00D81598">
            <w:pPr>
              <w:pStyle w:val="Smn"/>
              <w:numPr>
                <w:ilvl w:val="0"/>
                <w:numId w:val="3"/>
              </w:numPr>
              <w:spacing w:before="0" w:after="0"/>
              <w:contextualSpacing/>
              <w:jc w:val="center"/>
              <w:rPr>
                <w:rFonts w:ascii="Times New Roman" w:hAnsi="Times New Roman" w:cs="Times New Roman"/>
                <w:spacing w:val="-6"/>
                <w:sz w:val="22"/>
                <w:szCs w:val="22"/>
              </w:rPr>
            </w:pPr>
          </w:p>
        </w:tc>
        <w:tc>
          <w:tcPr>
            <w:tcW w:w="3109" w:type="pct"/>
            <w:shd w:val="clear" w:color="auto" w:fill="E7E6E6" w:themeFill="background2"/>
            <w:vAlign w:val="center"/>
          </w:tcPr>
          <w:p w14:paraId="066E5A94" w14:textId="77777777" w:rsidR="00AF66BB" w:rsidRPr="007D3D4F" w:rsidRDefault="00AF66BB" w:rsidP="001012BD">
            <w:pPr>
              <w:pStyle w:val="Smn"/>
              <w:spacing w:before="0" w:after="0"/>
              <w:contextualSpacing/>
              <w:rPr>
                <w:rFonts w:ascii="Times New Roman" w:hAnsi="Times New Roman" w:cs="Times New Roman"/>
                <w:spacing w:val="-6"/>
                <w:sz w:val="22"/>
                <w:szCs w:val="22"/>
              </w:rPr>
            </w:pPr>
            <w:r w:rsidRPr="007D3D4F">
              <w:rPr>
                <w:rFonts w:ascii="Times New Roman" w:hAnsi="Times New Roman" w:cs="Times New Roman"/>
                <w:spacing w:val="-6"/>
                <w:sz w:val="22"/>
                <w:szCs w:val="22"/>
              </w:rPr>
              <w:t>Noul cadru al UE pentru mobilitatea urbană</w:t>
            </w:r>
          </w:p>
        </w:tc>
      </w:tr>
    </w:tbl>
    <w:p w14:paraId="4DB1D50B" w14:textId="77777777" w:rsidR="00AF66BB" w:rsidRPr="007D3D4F" w:rsidRDefault="00AF66BB" w:rsidP="004C072F">
      <w:pPr>
        <w:pStyle w:val="Legend"/>
        <w:spacing w:before="120" w:after="120"/>
        <w:contextualSpacing/>
        <w:jc w:val="center"/>
        <w:rPr>
          <w:rFonts w:ascii="Times New Roman" w:hAnsi="Times New Roman" w:cs="Times New Roman"/>
          <w:i w:val="0"/>
          <w:iCs w:val="0"/>
          <w:color w:val="auto"/>
          <w:sz w:val="22"/>
          <w:szCs w:val="22"/>
        </w:rPr>
      </w:pPr>
      <w:r w:rsidRPr="007D3D4F">
        <w:rPr>
          <w:rFonts w:ascii="Times New Roman" w:hAnsi="Times New Roman" w:cs="Times New Roman"/>
          <w:b/>
          <w:bCs/>
          <w:i w:val="0"/>
          <w:iCs w:val="0"/>
          <w:color w:val="auto"/>
          <w:sz w:val="22"/>
          <w:szCs w:val="22"/>
        </w:rPr>
        <w:t xml:space="preserve">Sursa: </w:t>
      </w:r>
      <w:r w:rsidRPr="007D3D4F">
        <w:rPr>
          <w:rFonts w:ascii="Times New Roman" w:hAnsi="Times New Roman" w:cs="Times New Roman"/>
          <w:i w:val="0"/>
          <w:iCs w:val="0"/>
          <w:color w:val="auto"/>
          <w:sz w:val="22"/>
          <w:szCs w:val="22"/>
        </w:rPr>
        <w:t>Autorul</w:t>
      </w:r>
    </w:p>
    <w:p w14:paraId="3A46D9A5" w14:textId="77777777" w:rsidR="00AF66BB" w:rsidRPr="007D3D4F" w:rsidRDefault="00AF66BB" w:rsidP="004C072F">
      <w:pPr>
        <w:pStyle w:val="Smn"/>
        <w:contextualSpacing/>
        <w:rPr>
          <w:rFonts w:ascii="Times New Roman" w:hAnsi="Times New Roman" w:cs="Times New Roman"/>
          <w:b/>
          <w:bCs/>
          <w:color w:val="000000" w:themeColor="text1"/>
          <w:sz w:val="22"/>
          <w:szCs w:val="22"/>
        </w:rPr>
      </w:pPr>
      <w:r w:rsidRPr="007D3D4F">
        <w:rPr>
          <w:rFonts w:ascii="Times New Roman" w:hAnsi="Times New Roman" w:cs="Times New Roman"/>
          <w:b/>
          <w:bCs/>
          <w:color w:val="000000" w:themeColor="text1"/>
          <w:sz w:val="22"/>
          <w:szCs w:val="22"/>
        </w:rPr>
        <w:t>1. Carte Albă - Foaie de parcurs pentru un spațiu european unic al transporturilor – Către un sistem de transport competitiv și eficient din punct de vedere al resurselor</w:t>
      </w:r>
    </w:p>
    <w:p w14:paraId="7EBB5D64" w14:textId="52734C1D" w:rsidR="00AF66BB" w:rsidRPr="007D3D4F" w:rsidRDefault="00AF66BB" w:rsidP="004C072F">
      <w:pPr>
        <w:pStyle w:val="Smn"/>
        <w:contextualSpacing/>
        <w:rPr>
          <w:rFonts w:ascii="Times New Roman" w:hAnsi="Times New Roman" w:cs="Times New Roman"/>
          <w:b/>
          <w:bCs/>
          <w:color w:val="000000" w:themeColor="text1"/>
          <w:sz w:val="22"/>
          <w:szCs w:val="22"/>
        </w:rPr>
      </w:pPr>
      <w:r w:rsidRPr="007D3D4F">
        <w:rPr>
          <w:rFonts w:ascii="Times New Roman" w:hAnsi="Times New Roman" w:cs="Times New Roman"/>
          <w:b/>
          <w:bCs/>
          <w:noProof/>
          <w:color w:val="000000" w:themeColor="text1"/>
          <w:sz w:val="22"/>
          <w:szCs w:val="22"/>
          <w:lang w:eastAsia="ro-RO"/>
        </w:rPr>
        <mc:AlternateContent>
          <mc:Choice Requires="wps">
            <w:drawing>
              <wp:anchor distT="0" distB="0" distL="114300" distR="114300" simplePos="0" relativeHeight="251737088" behindDoc="0" locked="0" layoutInCell="1" allowOverlap="1" wp14:anchorId="65CB8422" wp14:editId="21FDAB1A">
                <wp:simplePos x="0" y="0"/>
                <wp:positionH relativeFrom="column">
                  <wp:posOffset>0</wp:posOffset>
                </wp:positionH>
                <wp:positionV relativeFrom="paragraph">
                  <wp:posOffset>79508</wp:posOffset>
                </wp:positionV>
                <wp:extent cx="5943600" cy="0"/>
                <wp:effectExtent l="0" t="19050" r="19050" b="19050"/>
                <wp:wrapNone/>
                <wp:docPr id="564285819"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4402E5" id="Straight Connector 3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6.25pt" to="46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" strokecolor="#4472c4" strokeweight="3pt">
                <v:stroke joinstyle="miter"/>
              </v:line>
            </w:pict>
          </mc:Fallback>
        </mc:AlternateContent>
      </w:r>
    </w:p>
    <w:p w14:paraId="74FABC50"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rPr>
      </w:pPr>
      <w:r w:rsidRPr="007D3D4F">
        <w:rPr>
          <w:rFonts w:ascii="Times New Roman" w:hAnsi="Times New Roman" w:cs="Times New Roman"/>
          <w:color w:val="000000" w:themeColor="text1"/>
        </w:rPr>
        <w:t xml:space="preserve">Este primul document strategic cuprinzător al UE privind transportul, fiind pentru prima data publicat în 2001, cu o versiune actualizată lansată în 2011. Cartea albă a stabilit o viziune pe termen lung pentru un sistem de transport durabil până în 2050 și a propus măsuri pentru a realiza o schimbare către moduri de transport mai ecologice, utilizarea sporită a transportului public și promovarea combustibililor și infrastructurii alternative. Reprezintă viziunea Comisiei Europene pentru viitorul transportului, având drept principal obiectiv promovarea unei mobilități durabile și sustenabile în Uniunea Europeană. </w:t>
      </w:r>
    </w:p>
    <w:p w14:paraId="521733FC" w14:textId="77777777" w:rsidR="00AF66BB" w:rsidRPr="007D3D4F" w:rsidRDefault="00AF66BB" w:rsidP="004C072F">
      <w:pPr>
        <w:pStyle w:val="Listparagraf"/>
        <w:spacing w:before="120" w:after="120" w:line="240" w:lineRule="auto"/>
        <w:ind w:left="0"/>
        <w:jc w:val="both"/>
        <w:rPr>
          <w:rFonts w:ascii="Times New Roman" w:hAnsi="Times New Roman" w:cs="Times New Roman"/>
          <w:color w:val="000000" w:themeColor="text1"/>
          <w:spacing w:val="-6"/>
        </w:rPr>
      </w:pPr>
      <w:r w:rsidRPr="007D3D4F">
        <w:rPr>
          <w:rFonts w:ascii="Times New Roman" w:hAnsi="Times New Roman" w:cs="Times New Roman"/>
          <w:color w:val="000000" w:themeColor="text1"/>
          <w:spacing w:val="-6"/>
        </w:rPr>
        <w:t>Obiectivele și măsurile cheie propuse în Cartea albă privind transportul (2001, actualizată în 2011) includ:</w:t>
      </w:r>
    </w:p>
    <w:p w14:paraId="5F322C2D" w14:textId="77777777" w:rsidR="00AF66BB" w:rsidRPr="007D3D4F" w:rsidRDefault="00AF66BB" w:rsidP="00D81598">
      <w:pPr>
        <w:pStyle w:val="Listparagraf"/>
        <w:numPr>
          <w:ilvl w:val="0"/>
          <w:numId w:val="4"/>
        </w:numPr>
        <w:spacing w:before="120" w:after="120" w:line="240" w:lineRule="auto"/>
        <w:jc w:val="both"/>
        <w:rPr>
          <w:rFonts w:ascii="Times New Roman" w:hAnsi="Times New Roman" w:cs="Times New Roman"/>
          <w:color w:val="000000" w:themeColor="text1"/>
        </w:rPr>
      </w:pPr>
      <w:r w:rsidRPr="007D3D4F">
        <w:rPr>
          <w:rFonts w:ascii="Times New Roman" w:hAnsi="Times New Roman" w:cs="Times New Roman"/>
          <w:color w:val="000000" w:themeColor="text1"/>
        </w:rPr>
        <w:t>Trecerea la transportul durabil - Cartea albă subliniază necesitatea îndreptării către moduri de transport mai durabile, cum ar fi transportul feroviar, transportul pe apă și transportul public. Promovează reducerea emisiilor de gaze cu efect de seră legate de transport și utilizarea de combustibili și tehnologii mai curate;</w:t>
      </w:r>
    </w:p>
    <w:p w14:paraId="22D5AE30" w14:textId="77777777" w:rsidR="00AF66BB" w:rsidRPr="007D3D4F" w:rsidRDefault="00AF66BB" w:rsidP="00D81598">
      <w:pPr>
        <w:pStyle w:val="Listparagraf"/>
        <w:numPr>
          <w:ilvl w:val="0"/>
          <w:numId w:val="4"/>
        </w:numPr>
        <w:spacing w:before="120" w:after="120" w:line="240" w:lineRule="auto"/>
        <w:ind w:left="714" w:hanging="357"/>
        <w:jc w:val="both"/>
        <w:rPr>
          <w:rFonts w:ascii="Times New Roman" w:hAnsi="Times New Roman" w:cs="Times New Roman"/>
          <w:color w:val="000000" w:themeColor="text1"/>
          <w:spacing w:val="-6"/>
        </w:rPr>
      </w:pPr>
      <w:r w:rsidRPr="007D3D4F">
        <w:rPr>
          <w:rFonts w:ascii="Times New Roman" w:hAnsi="Times New Roman" w:cs="Times New Roman"/>
          <w:color w:val="000000" w:themeColor="text1"/>
          <w:spacing w:val="-6"/>
        </w:rPr>
        <w:t xml:space="preserve">Investiții în infrastructură - Cartea albă subliniază importanța investițiilor în infrastructura de transport pentru a spori conectivitatea și a îmbunătăți eficiența rețelelor de transport. Subliniază dezvoltarea rețelelor transeuropene de transport (TEN-T) pentru a promova transportul transfrontalier; </w:t>
      </w:r>
    </w:p>
    <w:p w14:paraId="7A883A3B" w14:textId="77777777" w:rsidR="00AF66BB" w:rsidRPr="007D3D4F" w:rsidRDefault="00AF66BB" w:rsidP="00D81598">
      <w:pPr>
        <w:pStyle w:val="Listparagraf"/>
        <w:numPr>
          <w:ilvl w:val="0"/>
          <w:numId w:val="4"/>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rPr>
        <w:t>Decarbonizarea transporturilor - Cartea albă stabilește obiective ambițioase pentru reducerea emisiilor de gaze cu efect de seră în sectorul transporturilor. Acesta își propune să reducă emisiile de dioxid de carbon provenite din transport;</w:t>
      </w:r>
    </w:p>
    <w:p w14:paraId="572EDE9F" w14:textId="77777777" w:rsidR="00AF66BB" w:rsidRPr="007D3D4F" w:rsidRDefault="00AF66BB" w:rsidP="00D81598">
      <w:pPr>
        <w:pStyle w:val="Listparagraf"/>
        <w:numPr>
          <w:ilvl w:val="0"/>
          <w:numId w:val="4"/>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rPr>
        <w:t xml:space="preserve">Promovarea multimodalității - Cartea albă pledează pentru promovarea soluțiilor de transport multimodale, unde diferite moduri de transport sunt integrate și se completează reciproc. Această </w:t>
      </w:r>
      <w:r w:rsidRPr="007D3D4F">
        <w:rPr>
          <w:rFonts w:ascii="Times New Roman" w:hAnsi="Times New Roman" w:cs="Times New Roman"/>
          <w:color w:val="000000" w:themeColor="text1"/>
        </w:rPr>
        <w:lastRenderedPageBreak/>
        <w:t>abordare este văzută ca o modalitate de a îmbunătăți eficiența transportului și de a reduce impactul asupra mediului;</w:t>
      </w:r>
    </w:p>
    <w:p w14:paraId="3C1F56E6" w14:textId="77777777" w:rsidR="00AF66BB" w:rsidRPr="007D3D4F" w:rsidRDefault="00AF66BB" w:rsidP="00D81598">
      <w:pPr>
        <w:pStyle w:val="Listparagraf"/>
        <w:numPr>
          <w:ilvl w:val="0"/>
          <w:numId w:val="4"/>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rPr>
        <w:t>Siguranța rutieră - Cartea albă se concentrează pe îmbunătățirea siguranței rutiere prin stabilirea de ținte pentru reducerea deceselor rutiere și a rănilor grave;</w:t>
      </w:r>
    </w:p>
    <w:p w14:paraId="195586EE" w14:textId="77777777" w:rsidR="00AF66BB" w:rsidRPr="007D3D4F" w:rsidRDefault="00AF66BB" w:rsidP="00D81598">
      <w:pPr>
        <w:pStyle w:val="Listparagraf"/>
        <w:numPr>
          <w:ilvl w:val="0"/>
          <w:numId w:val="4"/>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rPr>
        <w:t>Cercetare și inovare - Cartea albă subliniază importanța cercetării și inovării în sectorul transporturilor pentru a conduce progresele tehnologice și pentru a sprijini tranziția către soluții de transport mai durabile;</w:t>
      </w:r>
    </w:p>
    <w:p w14:paraId="012615FB" w14:textId="77777777" w:rsidR="00AF66BB" w:rsidRPr="007D3D4F" w:rsidRDefault="00AF66BB" w:rsidP="00D81598">
      <w:pPr>
        <w:pStyle w:val="Listparagraf"/>
        <w:numPr>
          <w:ilvl w:val="0"/>
          <w:numId w:val="4"/>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rPr>
        <w:t>Mobilitatea urbană - Cartea albă evidențiază importanța mobilității urbane durabile și încurajează utilizarea transportului public, a ciclismului și a mersului pe jos în zonele urbane;</w:t>
      </w:r>
    </w:p>
    <w:p w14:paraId="2D25F688" w14:textId="77777777" w:rsidR="00AF66BB" w:rsidRPr="007D3D4F" w:rsidRDefault="00AF66BB" w:rsidP="00D81598">
      <w:pPr>
        <w:pStyle w:val="Listparagraf"/>
        <w:numPr>
          <w:ilvl w:val="0"/>
          <w:numId w:val="4"/>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spacing w:val="-6"/>
        </w:rPr>
        <w:t>Transport maritim - Cartea albă abordează dezvoltarea transportului maritim, inclusiv măsuri pentru îmbunătățirea eficienței porturilor și promovarea transportului maritim pe distanțe scurte</w:t>
      </w:r>
      <w:r w:rsidRPr="007D3D4F">
        <w:rPr>
          <w:rStyle w:val="Referinnotdesubsol"/>
          <w:rFonts w:ascii="Times New Roman" w:hAnsi="Times New Roman" w:cs="Times New Roman"/>
          <w:color w:val="000000" w:themeColor="text1"/>
          <w:spacing w:val="-6"/>
        </w:rPr>
        <w:footnoteReference w:id="15"/>
      </w:r>
      <w:r w:rsidRPr="007D3D4F">
        <w:rPr>
          <w:rFonts w:ascii="Times New Roman" w:hAnsi="Times New Roman" w:cs="Times New Roman"/>
          <w:color w:val="000000" w:themeColor="text1"/>
          <w:spacing w:val="-6"/>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4"/>
        <w:gridCol w:w="2376"/>
      </w:tblGrid>
      <w:tr w:rsidR="00AF66BB" w:rsidRPr="007D3D4F" w14:paraId="4F1B953B" w14:textId="77777777" w:rsidTr="00355431">
        <w:tc>
          <w:tcPr>
            <w:tcW w:w="8075" w:type="dxa"/>
            <w:tcBorders>
              <w:top w:val="single" w:sz="12" w:space="0" w:color="FFC000"/>
              <w:bottom w:val="single" w:sz="12" w:space="0" w:color="FFC000"/>
            </w:tcBorders>
          </w:tcPr>
          <w:p w14:paraId="246F89AA" w14:textId="77777777" w:rsidR="00AF66BB" w:rsidRPr="007D3D4F" w:rsidRDefault="00AF66BB" w:rsidP="004C072F">
            <w:pPr>
              <w:spacing w:before="120" w:after="120"/>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Cartea Albă a Transporturilor este relevantă în contextul Strategiei  pentru transport integrat și mobilitate durabilă în Județul Tulcea întrucât promovează transportul durabil, multimodalitatea, dezvoltarea infrastructurii ecologice, mobilitatea urbană sustenabilă, digitalizarea și integrarea în rețelele europene, oferind astfel un cadru strategic compatibil cu obiectivele Uniunii Europene și oportun pentru atragerea de finanțări.</w:t>
            </w:r>
          </w:p>
        </w:tc>
        <w:tc>
          <w:tcPr>
            <w:tcW w:w="1275" w:type="dxa"/>
            <w:tcBorders>
              <w:top w:val="single" w:sz="12" w:space="0" w:color="FFC000"/>
              <w:bottom w:val="single" w:sz="12" w:space="0" w:color="FFC000"/>
            </w:tcBorders>
          </w:tcPr>
          <w:p w14:paraId="6600FDF5" w14:textId="77777777" w:rsidR="00AF66BB" w:rsidRPr="007D3D4F" w:rsidRDefault="00AF66BB" w:rsidP="004C072F">
            <w:pPr>
              <w:spacing w:before="120" w:after="120"/>
              <w:contextualSpacing/>
              <w:jc w:val="both"/>
              <w:rPr>
                <w:rFonts w:ascii="Times New Roman" w:hAnsi="Times New Roman" w:cs="Times New Roman"/>
                <w:b/>
                <w:bCs/>
                <w:color w:val="000000" w:themeColor="text1"/>
              </w:rPr>
            </w:pPr>
            <w:r w:rsidRPr="007D3D4F">
              <w:rPr>
                <w:rFonts w:ascii="Times New Roman" w:hAnsi="Times New Roman" w:cs="Times New Roman"/>
                <w:noProof/>
                <w:lang w:eastAsia="ro-RO"/>
              </w:rPr>
              <w:drawing>
                <wp:inline distT="0" distB="0" distL="0" distR="0" wp14:anchorId="484D033A" wp14:editId="4D81922D">
                  <wp:extent cx="1362710" cy="1442307"/>
                  <wp:effectExtent l="0" t="0" r="8890" b="5715"/>
                  <wp:docPr id="1830495151" name="Picture 33" descr="desen linie gradient rece de o săgeată de regie de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 linie gradient rece de o săgeată de regie de desene anim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0333" cy="1460960"/>
                          </a:xfrm>
                          <a:prstGeom prst="rect">
                            <a:avLst/>
                          </a:prstGeom>
                          <a:noFill/>
                          <a:ln>
                            <a:noFill/>
                          </a:ln>
                        </pic:spPr>
                      </pic:pic>
                    </a:graphicData>
                  </a:graphic>
                </wp:inline>
              </w:drawing>
            </w:r>
          </w:p>
        </w:tc>
      </w:tr>
    </w:tbl>
    <w:p w14:paraId="7038C5E8"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noProof/>
          <w:color w:val="000000" w:themeColor="text1"/>
          <w:lang w:eastAsia="ro-RO"/>
        </w:rPr>
        <mc:AlternateContent>
          <mc:Choice Requires="wps">
            <w:drawing>
              <wp:anchor distT="0" distB="0" distL="114300" distR="114300" simplePos="0" relativeHeight="251738112" behindDoc="0" locked="0" layoutInCell="1" allowOverlap="1" wp14:anchorId="7ED19479" wp14:editId="4939D4C7">
                <wp:simplePos x="0" y="0"/>
                <wp:positionH relativeFrom="column">
                  <wp:posOffset>0</wp:posOffset>
                </wp:positionH>
                <wp:positionV relativeFrom="paragraph">
                  <wp:posOffset>288502</wp:posOffset>
                </wp:positionV>
                <wp:extent cx="5943600" cy="0"/>
                <wp:effectExtent l="0" t="19050" r="19050" b="19050"/>
                <wp:wrapNone/>
                <wp:docPr id="323926187"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8B336" id="Straight Connector 30"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0,22.7pt" to="46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" strokecolor="#4472c4" strokeweight="3pt">
                <v:stroke joinstyle="miter"/>
              </v:line>
            </w:pict>
          </mc:Fallback>
        </mc:AlternateContent>
      </w:r>
      <w:r w:rsidRPr="007D3D4F">
        <w:rPr>
          <w:rFonts w:ascii="Times New Roman" w:hAnsi="Times New Roman" w:cs="Times New Roman"/>
          <w:b/>
          <w:bCs/>
          <w:color w:val="000000" w:themeColor="text1"/>
        </w:rPr>
        <w:t>2. Mecanismul pentru interconectarea Europei</w:t>
      </w:r>
      <w:r w:rsidRPr="007D3D4F">
        <w:rPr>
          <w:rFonts w:ascii="Times New Roman" w:hAnsi="Times New Roman" w:cs="Times New Roman"/>
          <w:color w:val="000000" w:themeColor="text1"/>
        </w:rPr>
        <w:t xml:space="preserve"> </w:t>
      </w:r>
    </w:p>
    <w:p w14:paraId="4D0D4E71"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p>
    <w:p w14:paraId="128713F4"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Mecanismul pentru interconectarea Europei</w:t>
      </w:r>
      <w:r w:rsidRPr="007D3D4F">
        <w:rPr>
          <w:rFonts w:ascii="Times New Roman" w:hAnsi="Times New Roman" w:cs="Times New Roman"/>
          <w:color w:val="000000" w:themeColor="text1"/>
        </w:rPr>
        <w:t xml:space="preserve"> reprezintă principalul instrument financiar al Uniunii Europene destinat sprijinirii dezvoltării infrastructurii de transport, energie și digitalizare. Scopul său este de a îmbunătăți conectivitatea între statele membre și de a contribui la realizarea obiectivelor strategice ale UE în aceste domenii.</w:t>
      </w:r>
    </w:p>
    <w:p w14:paraId="63153561"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În sectorul transporturilor, CEF urmărește creșterea eficienței, durabilității și siguranței rețelelor europene de transport, prin finanțarea de proiecte precum: căi ferate noi sau modernizate, autostrăzi, terminale intermodale, căi navigabile interioare, infrastructuri portuare și aeroportuare, precum și soluții inteligente pentru mobilitate urbană.</w:t>
      </w:r>
    </w:p>
    <w:p w14:paraId="3FADBDDA" w14:textId="77777777" w:rsidR="00AF66BB" w:rsidRPr="007D3D4F" w:rsidRDefault="00AF66BB" w:rsidP="00A61497">
      <w:pPr>
        <w:spacing w:before="60" w:after="60" w:line="240" w:lineRule="auto"/>
        <w:jc w:val="both"/>
        <w:rPr>
          <w:rFonts w:ascii="Times New Roman" w:hAnsi="Times New Roman" w:cs="Times New Roman"/>
          <w:color w:val="000000" w:themeColor="text1"/>
        </w:rPr>
      </w:pPr>
      <w:r w:rsidRPr="007D3D4F">
        <w:rPr>
          <w:rFonts w:ascii="Times New Roman" w:hAnsi="Times New Roman" w:cs="Times New Roman"/>
          <w:color w:val="000000" w:themeColor="text1"/>
        </w:rPr>
        <w:t>Mecanismul funcționează în două perioade de programare:</w:t>
      </w:r>
    </w:p>
    <w:p w14:paraId="07593874" w14:textId="77777777" w:rsidR="00AF66BB" w:rsidRPr="007D3D4F" w:rsidRDefault="00AF66BB" w:rsidP="00D81598">
      <w:pPr>
        <w:pStyle w:val="Listparagraf"/>
        <w:numPr>
          <w:ilvl w:val="0"/>
          <w:numId w:val="6"/>
        </w:numPr>
        <w:spacing w:before="60" w:after="60" w:line="240" w:lineRule="auto"/>
        <w:contextualSpacing w:val="0"/>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2014–2020</w:t>
      </w:r>
      <w:r w:rsidRPr="007D3D4F">
        <w:rPr>
          <w:rFonts w:ascii="Times New Roman" w:hAnsi="Times New Roman" w:cs="Times New Roman"/>
          <w:color w:val="000000" w:themeColor="text1"/>
        </w:rPr>
        <w:t>, prima etapă de implementare;</w:t>
      </w:r>
    </w:p>
    <w:p w14:paraId="04D76EF8" w14:textId="77777777" w:rsidR="00AF66BB" w:rsidRPr="007D3D4F" w:rsidRDefault="00AF66BB" w:rsidP="00D81598">
      <w:pPr>
        <w:pStyle w:val="Listparagraf"/>
        <w:numPr>
          <w:ilvl w:val="0"/>
          <w:numId w:val="6"/>
        </w:numPr>
        <w:spacing w:before="60" w:after="60" w:line="240" w:lineRule="auto"/>
        <w:contextualSpacing w:val="0"/>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2021–2027</w:t>
      </w:r>
      <w:r w:rsidRPr="007D3D4F">
        <w:rPr>
          <w:rFonts w:ascii="Times New Roman" w:hAnsi="Times New Roman" w:cs="Times New Roman"/>
          <w:color w:val="000000" w:themeColor="text1"/>
        </w:rPr>
        <w:t>, actuala perioadă, care pune accent pe tranziția verde și digitală în infrastructura europeană.</w:t>
      </w:r>
    </w:p>
    <w:p w14:paraId="57C8D5BE" w14:textId="77777777" w:rsidR="00AF66BB" w:rsidRPr="00A61497" w:rsidRDefault="00AF66BB" w:rsidP="00A61497">
      <w:pPr>
        <w:spacing w:before="60" w:after="60" w:line="240" w:lineRule="auto"/>
        <w:jc w:val="both"/>
        <w:rPr>
          <w:rFonts w:ascii="Times New Roman" w:hAnsi="Times New Roman" w:cs="Times New Roman"/>
          <w:color w:val="000000" w:themeColor="text1"/>
          <w:spacing w:val="-6"/>
        </w:rPr>
      </w:pPr>
      <w:r w:rsidRPr="00A61497">
        <w:rPr>
          <w:rFonts w:ascii="Times New Roman" w:hAnsi="Times New Roman" w:cs="Times New Roman"/>
          <w:color w:val="000000" w:themeColor="text1"/>
          <w:spacing w:val="-6"/>
        </w:rPr>
        <w:t xml:space="preserve">CEF sprijină punerea în aplicare a politicii privind </w:t>
      </w:r>
      <w:r w:rsidRPr="00A61497">
        <w:rPr>
          <w:rFonts w:ascii="Times New Roman" w:hAnsi="Times New Roman" w:cs="Times New Roman"/>
          <w:b/>
          <w:bCs/>
          <w:color w:val="000000" w:themeColor="text1"/>
          <w:spacing w:val="-6"/>
        </w:rPr>
        <w:t>Rețelele Transeuropene de Transport (TEN-T)</w:t>
      </w:r>
      <w:r w:rsidRPr="00A61497">
        <w:rPr>
          <w:rFonts w:ascii="Times New Roman" w:hAnsi="Times New Roman" w:cs="Times New Roman"/>
          <w:color w:val="000000" w:themeColor="text1"/>
          <w:spacing w:val="-6"/>
        </w:rPr>
        <w:t>, care vizează:</w:t>
      </w:r>
    </w:p>
    <w:p w14:paraId="4EBCB5F6" w14:textId="77777777" w:rsidR="00AF66BB" w:rsidRPr="007D3D4F" w:rsidRDefault="00AF66BB" w:rsidP="00D81598">
      <w:pPr>
        <w:pStyle w:val="Listparagraf"/>
        <w:numPr>
          <w:ilvl w:val="0"/>
          <w:numId w:val="5"/>
        </w:numPr>
        <w:spacing w:before="60" w:after="60" w:line="240" w:lineRule="auto"/>
        <w:contextualSpacing w:val="0"/>
        <w:jc w:val="both"/>
        <w:rPr>
          <w:rFonts w:ascii="Times New Roman" w:hAnsi="Times New Roman" w:cs="Times New Roman"/>
          <w:color w:val="000000" w:themeColor="text1"/>
        </w:rPr>
      </w:pPr>
      <w:r w:rsidRPr="007D3D4F">
        <w:rPr>
          <w:rFonts w:ascii="Times New Roman" w:hAnsi="Times New Roman" w:cs="Times New Roman"/>
          <w:color w:val="000000" w:themeColor="text1"/>
        </w:rPr>
        <w:t xml:space="preserve">Finalizarea </w:t>
      </w:r>
      <w:r w:rsidRPr="007D3D4F">
        <w:rPr>
          <w:rFonts w:ascii="Times New Roman" w:hAnsi="Times New Roman" w:cs="Times New Roman"/>
          <w:b/>
          <w:bCs/>
          <w:color w:val="000000" w:themeColor="text1"/>
        </w:rPr>
        <w:t>Rețelei de Bază</w:t>
      </w:r>
      <w:r w:rsidRPr="007D3D4F">
        <w:rPr>
          <w:rFonts w:ascii="Times New Roman" w:hAnsi="Times New Roman" w:cs="Times New Roman"/>
          <w:color w:val="000000" w:themeColor="text1"/>
        </w:rPr>
        <w:t xml:space="preserve"> până în 2030, prin cele 9 coridoare multimodale prioritare;</w:t>
      </w:r>
    </w:p>
    <w:p w14:paraId="389D7356" w14:textId="77777777" w:rsidR="00AF66BB" w:rsidRPr="007D3D4F" w:rsidRDefault="00AF66BB" w:rsidP="00D81598">
      <w:pPr>
        <w:pStyle w:val="Listparagraf"/>
        <w:numPr>
          <w:ilvl w:val="0"/>
          <w:numId w:val="5"/>
        </w:numPr>
        <w:spacing w:before="60" w:after="60" w:line="240" w:lineRule="auto"/>
        <w:contextualSpacing w:val="0"/>
        <w:jc w:val="both"/>
        <w:rPr>
          <w:rFonts w:ascii="Times New Roman" w:hAnsi="Times New Roman" w:cs="Times New Roman"/>
          <w:color w:val="000000" w:themeColor="text1"/>
        </w:rPr>
      </w:pPr>
      <w:r w:rsidRPr="007D3D4F">
        <w:rPr>
          <w:rFonts w:ascii="Times New Roman" w:hAnsi="Times New Roman" w:cs="Times New Roman"/>
          <w:color w:val="000000" w:themeColor="text1"/>
        </w:rPr>
        <w:t xml:space="preserve">Finalizarea </w:t>
      </w:r>
      <w:r w:rsidRPr="007D3D4F">
        <w:rPr>
          <w:rFonts w:ascii="Times New Roman" w:hAnsi="Times New Roman" w:cs="Times New Roman"/>
          <w:b/>
          <w:bCs/>
          <w:color w:val="000000" w:themeColor="text1"/>
        </w:rPr>
        <w:t>Rețelei Cuprinzătoare</w:t>
      </w:r>
      <w:r w:rsidRPr="007D3D4F">
        <w:rPr>
          <w:rFonts w:ascii="Times New Roman" w:hAnsi="Times New Roman" w:cs="Times New Roman"/>
          <w:color w:val="000000" w:themeColor="text1"/>
        </w:rPr>
        <w:t xml:space="preserve"> până în 2050, pentru a asigura accesibilitatea în toate regiunile UE.</w:t>
      </w:r>
    </w:p>
    <w:p w14:paraId="0B5E8356"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lastRenderedPageBreak/>
        <w:t xml:space="preserve">De asemenea, Mecanismul promovează </w:t>
      </w:r>
      <w:r w:rsidRPr="007D3D4F">
        <w:rPr>
          <w:rFonts w:ascii="Times New Roman" w:hAnsi="Times New Roman" w:cs="Times New Roman"/>
          <w:b/>
          <w:bCs/>
          <w:color w:val="000000" w:themeColor="text1"/>
        </w:rPr>
        <w:t>inovarea în transporturi</w:t>
      </w:r>
      <w:r w:rsidRPr="007D3D4F">
        <w:rPr>
          <w:rFonts w:ascii="Times New Roman" w:hAnsi="Times New Roman" w:cs="Times New Roman"/>
          <w:color w:val="000000" w:themeColor="text1"/>
        </w:rPr>
        <w:t xml:space="preserve">, prin tehnologii care cresc eficiența energetică, reduc impactul asupra mediului și îmbunătățesc utilizarea infrastructurii. Bugetul total al CEF pentru transport în perioada 2021–2027 este de </w:t>
      </w:r>
      <w:r w:rsidRPr="007D3D4F">
        <w:rPr>
          <w:rFonts w:ascii="Times New Roman" w:hAnsi="Times New Roman" w:cs="Times New Roman"/>
          <w:b/>
          <w:bCs/>
          <w:color w:val="000000" w:themeColor="text1"/>
        </w:rPr>
        <w:t>25,81 miliarde euro</w:t>
      </w:r>
      <w:r w:rsidRPr="007D3D4F">
        <w:rPr>
          <w:rFonts w:ascii="Times New Roman" w:hAnsi="Times New Roman" w:cs="Times New Roman"/>
          <w:color w:val="000000" w:themeColor="text1"/>
        </w:rPr>
        <w:t xml:space="preserve">, din care </w:t>
      </w:r>
      <w:r w:rsidRPr="007D3D4F">
        <w:rPr>
          <w:rFonts w:ascii="Times New Roman" w:hAnsi="Times New Roman" w:cs="Times New Roman"/>
          <w:b/>
          <w:bCs/>
          <w:color w:val="000000" w:themeColor="text1"/>
        </w:rPr>
        <w:t>11,29 miliarde euro sunt alocate statelor eligibile pentru fonduri de coeziune</w:t>
      </w:r>
      <w:r w:rsidRPr="007D3D4F">
        <w:rPr>
          <w:rFonts w:ascii="Times New Roman" w:hAnsi="Times New Roman" w:cs="Times New Roman"/>
          <w:color w:val="000000" w:themeColor="text1"/>
        </w:rPr>
        <w:t>, inclusiv România</w:t>
      </w:r>
      <w:r w:rsidRPr="007D3D4F">
        <w:rPr>
          <w:rStyle w:val="Referinnotdesubsol"/>
          <w:rFonts w:ascii="Times New Roman" w:hAnsi="Times New Roman" w:cs="Times New Roman"/>
          <w:color w:val="000000" w:themeColor="text1"/>
        </w:rPr>
        <w:footnoteReference w:id="16"/>
      </w:r>
      <w:r w:rsidRPr="007D3D4F">
        <w:rPr>
          <w:rFonts w:ascii="Times New Roman" w:hAnsi="Times New Roman" w:cs="Times New Roman"/>
          <w:color w:val="000000" w:themeColor="text1"/>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4"/>
        <w:gridCol w:w="1896"/>
      </w:tblGrid>
      <w:tr w:rsidR="00AF66BB" w:rsidRPr="007D3D4F" w14:paraId="1E8A15FC" w14:textId="77777777" w:rsidTr="00355431">
        <w:tc>
          <w:tcPr>
            <w:tcW w:w="8075" w:type="dxa"/>
            <w:tcBorders>
              <w:top w:val="single" w:sz="12" w:space="0" w:color="FFC000"/>
              <w:bottom w:val="single" w:sz="12" w:space="0" w:color="FFC000"/>
            </w:tcBorders>
          </w:tcPr>
          <w:p w14:paraId="43E12C98" w14:textId="77777777" w:rsidR="00AF66BB" w:rsidRPr="007D3D4F" w:rsidRDefault="00AF66BB" w:rsidP="004C072F">
            <w:pPr>
              <w:spacing w:before="120" w:after="120"/>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Mecanismul pentru Interconectarea Europei (CEF) este relevant pentru strategia de transport integrat și mobilitate durabilă în Județul Tulcea deoarece oferă finanțare pentru dezvoltarea infrastructurii de transport durabil, sprijină conectarea la rețelele transeuropene (TEN-T) și încurajează proiecte multimodale, ecologice și inovatoare, aliniate la obiectivele europene de mobilitate și coeziune teritorială.</w:t>
            </w:r>
          </w:p>
        </w:tc>
        <w:tc>
          <w:tcPr>
            <w:tcW w:w="1275" w:type="dxa"/>
            <w:tcBorders>
              <w:top w:val="single" w:sz="12" w:space="0" w:color="FFC000"/>
              <w:bottom w:val="single" w:sz="12" w:space="0" w:color="FFC000"/>
            </w:tcBorders>
          </w:tcPr>
          <w:p w14:paraId="30789F75" w14:textId="77777777" w:rsidR="00AF66BB" w:rsidRPr="007D3D4F" w:rsidRDefault="00AF66BB" w:rsidP="004C072F">
            <w:pPr>
              <w:spacing w:before="120" w:after="120"/>
              <w:contextualSpacing/>
              <w:jc w:val="both"/>
              <w:rPr>
                <w:rFonts w:ascii="Times New Roman" w:hAnsi="Times New Roman" w:cs="Times New Roman"/>
                <w:b/>
                <w:bCs/>
                <w:color w:val="000000" w:themeColor="text1"/>
              </w:rPr>
            </w:pPr>
            <w:r w:rsidRPr="007D3D4F">
              <w:rPr>
                <w:rFonts w:ascii="Times New Roman" w:hAnsi="Times New Roman" w:cs="Times New Roman"/>
                <w:noProof/>
                <w:lang w:eastAsia="ro-RO"/>
              </w:rPr>
              <w:drawing>
                <wp:inline distT="0" distB="0" distL="0" distR="0" wp14:anchorId="4AA4A2A5" wp14:editId="2900714E">
                  <wp:extent cx="1066800" cy="1129113"/>
                  <wp:effectExtent l="0" t="0" r="0" b="0"/>
                  <wp:docPr id="1720948592" name="Picture 33" descr="desen linie gradient rece de o săgeată de regie de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 linie gradient rece de o săgeată de regie de desene an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841" cy="1146091"/>
                          </a:xfrm>
                          <a:prstGeom prst="rect">
                            <a:avLst/>
                          </a:prstGeom>
                          <a:noFill/>
                          <a:ln>
                            <a:noFill/>
                          </a:ln>
                        </pic:spPr>
                      </pic:pic>
                    </a:graphicData>
                  </a:graphic>
                </wp:inline>
              </w:drawing>
            </w:r>
          </w:p>
        </w:tc>
      </w:tr>
    </w:tbl>
    <w:p w14:paraId="1D5AAA5F" w14:textId="77777777" w:rsidR="004604FA" w:rsidRDefault="004604FA" w:rsidP="004C072F">
      <w:pPr>
        <w:spacing w:before="120" w:after="120" w:line="240" w:lineRule="auto"/>
        <w:contextualSpacing/>
        <w:jc w:val="both"/>
        <w:rPr>
          <w:rFonts w:ascii="Times New Roman" w:hAnsi="Times New Roman" w:cs="Times New Roman"/>
          <w:b/>
          <w:bCs/>
          <w:color w:val="000000" w:themeColor="text1"/>
        </w:rPr>
      </w:pPr>
    </w:p>
    <w:p w14:paraId="49431940" w14:textId="77777777" w:rsidR="004604FA" w:rsidRDefault="004604FA" w:rsidP="004C072F">
      <w:pPr>
        <w:spacing w:before="120" w:after="120" w:line="240" w:lineRule="auto"/>
        <w:contextualSpacing/>
        <w:jc w:val="both"/>
        <w:rPr>
          <w:rFonts w:ascii="Times New Roman" w:hAnsi="Times New Roman" w:cs="Times New Roman"/>
          <w:b/>
          <w:bCs/>
          <w:color w:val="000000" w:themeColor="text1"/>
        </w:rPr>
      </w:pPr>
    </w:p>
    <w:p w14:paraId="327A2D27" w14:textId="3A46CD69"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3. Pachetul de mobilitate urbană</w:t>
      </w:r>
      <w:r w:rsidRPr="007D3D4F">
        <w:rPr>
          <w:rFonts w:ascii="Times New Roman" w:hAnsi="Times New Roman" w:cs="Times New Roman"/>
          <w:color w:val="000000" w:themeColor="text1"/>
        </w:rPr>
        <w:t xml:space="preserve"> </w:t>
      </w:r>
    </w:p>
    <w:p w14:paraId="14230B62"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noProof/>
          <w:color w:val="000000" w:themeColor="text1"/>
          <w:lang w:eastAsia="ro-RO"/>
        </w:rPr>
        <mc:AlternateContent>
          <mc:Choice Requires="wps">
            <w:drawing>
              <wp:anchor distT="0" distB="0" distL="114300" distR="114300" simplePos="0" relativeHeight="251739136" behindDoc="0" locked="0" layoutInCell="1" allowOverlap="1" wp14:anchorId="11077D41" wp14:editId="068B6140">
                <wp:simplePos x="0" y="0"/>
                <wp:positionH relativeFrom="column">
                  <wp:posOffset>0</wp:posOffset>
                </wp:positionH>
                <wp:positionV relativeFrom="paragraph">
                  <wp:posOffset>92208</wp:posOffset>
                </wp:positionV>
                <wp:extent cx="5943600" cy="0"/>
                <wp:effectExtent l="0" t="19050" r="19050" b="19050"/>
                <wp:wrapNone/>
                <wp:docPr id="1453041067"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9EF148" id="Straight Connector 3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0,7.25pt" to="46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" strokecolor="#4472c4" strokeweight="3pt">
                <v:stroke joinstyle="miter"/>
              </v:line>
            </w:pict>
          </mc:Fallback>
        </mc:AlternateContent>
      </w:r>
    </w:p>
    <w:p w14:paraId="1F787CC1"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Pachetul de mobilitate urbană al Uniunii Europene</w:t>
      </w:r>
      <w:r w:rsidRPr="007D3D4F">
        <w:rPr>
          <w:rFonts w:ascii="Times New Roman" w:hAnsi="Times New Roman" w:cs="Times New Roman"/>
          <w:color w:val="000000" w:themeColor="text1"/>
        </w:rPr>
        <w:t xml:space="preserve"> are ca obiectiv principal combaterea congestiei din orașe, reducerea poluării și promovarea mobilității urbane durabile. Acesta sprijină tranziția către un transport mai curat și mai eficient, adaptat nevoilor reale ale zonelor urbane.</w:t>
      </w:r>
    </w:p>
    <w:p w14:paraId="6C56BCE5"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Elementele esențiale ale pachetului includ:</w:t>
      </w:r>
    </w:p>
    <w:p w14:paraId="569993A7" w14:textId="77777777" w:rsidR="00AF66BB" w:rsidRPr="007D3D4F" w:rsidRDefault="00AF66BB" w:rsidP="00D81598">
      <w:pPr>
        <w:pStyle w:val="Listparagraf"/>
        <w:numPr>
          <w:ilvl w:val="0"/>
          <w:numId w:val="2"/>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rPr>
        <w:t>Ghiduri pentru Planurile de Mobilitate Urbană Durabilă (PMUD) – documente strategice care integrează diverse moduri de transport și propun soluții sustenabile, personalizate pentru fiecare oraș;</w:t>
      </w:r>
    </w:p>
    <w:p w14:paraId="5CC24E40" w14:textId="77777777" w:rsidR="00AF66BB" w:rsidRPr="007D3D4F" w:rsidRDefault="00AF66BB" w:rsidP="00D81598">
      <w:pPr>
        <w:pStyle w:val="Listparagraf"/>
        <w:numPr>
          <w:ilvl w:val="0"/>
          <w:numId w:val="2"/>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rPr>
        <w:t>Recomandări privind accesul în zonele urbane, inclusiv introducerea zonelor cu emisii reduse și a schemelor de taxare a congestiei, în vederea reducerii traficului și a promovării vehiculelor nepoluante;</w:t>
      </w:r>
    </w:p>
    <w:p w14:paraId="2540CC43" w14:textId="77777777" w:rsidR="00AF66BB" w:rsidRPr="007D3D4F" w:rsidRDefault="00AF66BB" w:rsidP="00D81598">
      <w:pPr>
        <w:pStyle w:val="Listparagraf"/>
        <w:numPr>
          <w:ilvl w:val="0"/>
          <w:numId w:val="2"/>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rPr>
        <w:t>Politici de parcare inteligente, menite să optimizeze spațiul urban și să stimuleze utilizarea transportului public, a bicicletei și a mersului pe jos;</w:t>
      </w:r>
    </w:p>
    <w:p w14:paraId="41E8E61B" w14:textId="77777777" w:rsidR="00AF66BB" w:rsidRPr="007D3D4F" w:rsidRDefault="00AF66BB" w:rsidP="00D81598">
      <w:pPr>
        <w:pStyle w:val="Listparagraf"/>
        <w:numPr>
          <w:ilvl w:val="0"/>
          <w:numId w:val="2"/>
        </w:numPr>
        <w:spacing w:before="120" w:after="120" w:line="240" w:lineRule="auto"/>
        <w:ind w:left="714" w:hanging="357"/>
        <w:jc w:val="both"/>
        <w:rPr>
          <w:rFonts w:ascii="Times New Roman" w:hAnsi="Times New Roman" w:cs="Times New Roman"/>
          <w:color w:val="000000" w:themeColor="text1"/>
        </w:rPr>
      </w:pPr>
      <w:r w:rsidRPr="007D3D4F">
        <w:rPr>
          <w:rFonts w:ascii="Times New Roman" w:hAnsi="Times New Roman" w:cs="Times New Roman"/>
          <w:color w:val="000000" w:themeColor="text1"/>
        </w:rPr>
        <w:t>Promovarea sistemelor inteligente de transport (ITS) pentru o gestionare modernă, coordonată și eficientă a mobilității urbane</w:t>
      </w:r>
      <w:r w:rsidRPr="007D3D4F">
        <w:rPr>
          <w:rStyle w:val="Referinnotdesubsol"/>
          <w:rFonts w:ascii="Times New Roman" w:hAnsi="Times New Roman" w:cs="Times New Roman"/>
          <w:color w:val="000000" w:themeColor="text1"/>
        </w:rPr>
        <w:footnoteReference w:id="17"/>
      </w:r>
      <w:r w:rsidRPr="007D3D4F">
        <w:rPr>
          <w:rFonts w:ascii="Times New Roman" w:hAnsi="Times New Roman" w:cs="Times New Roman"/>
          <w:color w:val="000000" w:themeColor="text1"/>
        </w:rPr>
        <w:t>.</w:t>
      </w:r>
    </w:p>
    <w:p w14:paraId="1ED06364" w14:textId="77777777" w:rsidR="00AF66BB" w:rsidRPr="007D3D4F" w:rsidRDefault="00AF66BB" w:rsidP="004C072F">
      <w:pPr>
        <w:pStyle w:val="Listparagraf"/>
        <w:spacing w:before="120" w:after="120" w:line="240" w:lineRule="auto"/>
        <w:jc w:val="both"/>
        <w:rPr>
          <w:rFonts w:ascii="Times New Roman" w:hAnsi="Times New Roman" w:cs="Times New Roman"/>
          <w:color w:val="000000" w:themeColor="text1"/>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4"/>
        <w:gridCol w:w="1896"/>
      </w:tblGrid>
      <w:tr w:rsidR="00AF66BB" w:rsidRPr="007D3D4F" w14:paraId="18BB31D8" w14:textId="77777777" w:rsidTr="00355431">
        <w:tc>
          <w:tcPr>
            <w:tcW w:w="8075" w:type="dxa"/>
            <w:tcBorders>
              <w:top w:val="single" w:sz="12" w:space="0" w:color="FFC000"/>
              <w:bottom w:val="single" w:sz="12" w:space="0" w:color="FFC000"/>
            </w:tcBorders>
          </w:tcPr>
          <w:p w14:paraId="3B81B50A" w14:textId="77777777" w:rsidR="00AF66BB" w:rsidRPr="007D3D4F" w:rsidRDefault="00AF66BB" w:rsidP="004C072F">
            <w:pPr>
              <w:spacing w:before="120" w:after="120"/>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Pachetul de mobilitate urbană este relevant pentru strategia de transport integrat și mobilitate durabilă în Județul Tulcea deoarece oferă un cadru european pentru dezvoltarea Planurilor de Mobilitate Urbană Durabilă (PMUD), încurajează soluții de transport curate și eficiente, precum transportul public, ciclismul și sistemele inteligente, și sprijină măsuri concrete pentru reducerea poluării și a congestiei în zonele urbane.</w:t>
            </w:r>
          </w:p>
        </w:tc>
        <w:tc>
          <w:tcPr>
            <w:tcW w:w="1275" w:type="dxa"/>
            <w:tcBorders>
              <w:top w:val="single" w:sz="12" w:space="0" w:color="FFC000"/>
              <w:bottom w:val="single" w:sz="12" w:space="0" w:color="FFC000"/>
            </w:tcBorders>
          </w:tcPr>
          <w:p w14:paraId="7A0B25EF" w14:textId="77777777" w:rsidR="00AF66BB" w:rsidRPr="007D3D4F" w:rsidRDefault="00AF66BB" w:rsidP="004C072F">
            <w:pPr>
              <w:spacing w:before="120" w:after="120"/>
              <w:contextualSpacing/>
              <w:jc w:val="both"/>
              <w:rPr>
                <w:rFonts w:ascii="Times New Roman" w:hAnsi="Times New Roman" w:cs="Times New Roman"/>
                <w:b/>
                <w:bCs/>
                <w:color w:val="000000" w:themeColor="text1"/>
              </w:rPr>
            </w:pPr>
            <w:r w:rsidRPr="007D3D4F">
              <w:rPr>
                <w:rFonts w:ascii="Times New Roman" w:hAnsi="Times New Roman" w:cs="Times New Roman"/>
                <w:noProof/>
                <w:lang w:eastAsia="ro-RO"/>
              </w:rPr>
              <w:drawing>
                <wp:inline distT="0" distB="0" distL="0" distR="0" wp14:anchorId="6FCE5A09" wp14:editId="5A60F152">
                  <wp:extent cx="1066800" cy="1129113"/>
                  <wp:effectExtent l="0" t="0" r="0" b="0"/>
                  <wp:docPr id="958773375" name="Picture 33" descr="desen linie gradient rece de o săgeată de regie de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 linie gradient rece de o săgeată de regie de desene an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841" cy="1146091"/>
                          </a:xfrm>
                          <a:prstGeom prst="rect">
                            <a:avLst/>
                          </a:prstGeom>
                          <a:noFill/>
                          <a:ln>
                            <a:noFill/>
                          </a:ln>
                        </pic:spPr>
                      </pic:pic>
                    </a:graphicData>
                  </a:graphic>
                </wp:inline>
              </w:drawing>
            </w:r>
          </w:p>
        </w:tc>
      </w:tr>
    </w:tbl>
    <w:p w14:paraId="38226C0E" w14:textId="7EF8FEBF" w:rsidR="00E70AB1" w:rsidRDefault="00E70AB1" w:rsidP="004C072F">
      <w:pPr>
        <w:spacing w:before="120" w:after="120" w:line="240" w:lineRule="auto"/>
        <w:contextualSpacing/>
        <w:jc w:val="both"/>
        <w:rPr>
          <w:rFonts w:ascii="Times New Roman" w:hAnsi="Times New Roman" w:cs="Times New Roman"/>
          <w:b/>
          <w:bCs/>
          <w:color w:val="000000" w:themeColor="text1"/>
        </w:rPr>
      </w:pPr>
    </w:p>
    <w:p w14:paraId="2863F21A" w14:textId="77777777" w:rsidR="004604FA" w:rsidRPr="007D3D4F" w:rsidRDefault="004604FA" w:rsidP="004C072F">
      <w:pPr>
        <w:spacing w:before="120" w:after="120" w:line="240" w:lineRule="auto"/>
        <w:contextualSpacing/>
        <w:jc w:val="both"/>
        <w:rPr>
          <w:rFonts w:ascii="Times New Roman" w:hAnsi="Times New Roman" w:cs="Times New Roman"/>
          <w:b/>
          <w:bCs/>
          <w:color w:val="000000" w:themeColor="text1"/>
        </w:rPr>
      </w:pPr>
    </w:p>
    <w:p w14:paraId="5B6D16DB" w14:textId="59B0EAD7" w:rsidR="00AF66BB" w:rsidRPr="007D3D4F" w:rsidRDefault="00AF66BB" w:rsidP="004C072F">
      <w:pPr>
        <w:spacing w:before="120" w:after="120" w:line="240" w:lineRule="auto"/>
        <w:contextualSpacing/>
        <w:jc w:val="both"/>
        <w:rPr>
          <w:rFonts w:ascii="Times New Roman" w:hAnsi="Times New Roman" w:cs="Times New Roman"/>
          <w:b/>
          <w:bCs/>
          <w:color w:val="000000" w:themeColor="text1"/>
        </w:rPr>
      </w:pPr>
      <w:r w:rsidRPr="007D3D4F">
        <w:rPr>
          <w:rFonts w:ascii="Times New Roman" w:hAnsi="Times New Roman" w:cs="Times New Roman"/>
          <w:b/>
          <w:bCs/>
          <w:color w:val="000000" w:themeColor="text1"/>
        </w:rPr>
        <w:lastRenderedPageBreak/>
        <w:t>4. Strategia europeană pentru mobilitatea cu emisii reduse</w:t>
      </w:r>
    </w:p>
    <w:p w14:paraId="0312BBD6" w14:textId="3151F074" w:rsidR="00AF66BB" w:rsidRPr="007D3D4F" w:rsidRDefault="00333AE8"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b/>
          <w:bCs/>
          <w:noProof/>
          <w:color w:val="000000" w:themeColor="text1"/>
          <w:lang w:eastAsia="ro-RO"/>
        </w:rPr>
        <mc:AlternateContent>
          <mc:Choice Requires="wps">
            <w:drawing>
              <wp:anchor distT="0" distB="0" distL="114300" distR="114300" simplePos="0" relativeHeight="251740160" behindDoc="0" locked="0" layoutInCell="1" allowOverlap="1" wp14:anchorId="5416BFEA" wp14:editId="4B916ECB">
                <wp:simplePos x="0" y="0"/>
                <wp:positionH relativeFrom="column">
                  <wp:posOffset>0</wp:posOffset>
                </wp:positionH>
                <wp:positionV relativeFrom="paragraph">
                  <wp:posOffset>80291</wp:posOffset>
                </wp:positionV>
                <wp:extent cx="5943600" cy="0"/>
                <wp:effectExtent l="0" t="19050" r="19050" b="19050"/>
                <wp:wrapNone/>
                <wp:docPr id="1289664696"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BD99F" id="Straight Connector 3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0,6.3pt" to="46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" strokecolor="#4472c4" strokeweight="3pt">
                <v:stroke joinstyle="miter"/>
              </v:line>
            </w:pict>
          </mc:Fallback>
        </mc:AlternateContent>
      </w:r>
    </w:p>
    <w:p w14:paraId="00BC9FEB"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Adoptată de Comisia Europeană în iulie 2016, această strategie are ca scop accelerarea tranziției către un sistem de transport sustenabil și cu emisii reduse în întreaga Uniune Europeană. Vizează toate modurile de transport – rutier, feroviar, aerian și maritim – și se aliniază obiectivelor climatice și de mediu ale UE.</w:t>
      </w:r>
    </w:p>
    <w:p w14:paraId="5F4F9D10"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Printre obiectivele și măsurile esențiale ale strategiei se numără:</w:t>
      </w:r>
    </w:p>
    <w:p w14:paraId="0C496379" w14:textId="77777777" w:rsidR="00AF66BB" w:rsidRPr="007D3D4F" w:rsidRDefault="00AF66BB" w:rsidP="00D81598">
      <w:pPr>
        <w:numPr>
          <w:ilvl w:val="0"/>
          <w:numId w:val="7"/>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Reducerea emisiilor de gaze cu efect de seră</w:t>
      </w:r>
      <w:r w:rsidRPr="007D3D4F">
        <w:rPr>
          <w:rFonts w:ascii="Times New Roman" w:hAnsi="Times New Roman" w:cs="Times New Roman"/>
          <w:color w:val="000000" w:themeColor="text1"/>
        </w:rPr>
        <w:t xml:space="preserve"> din sectorul transporturilor, contribuind la neutralitatea climatică;</w:t>
      </w:r>
    </w:p>
    <w:p w14:paraId="7679D891" w14:textId="77777777" w:rsidR="00AF66BB" w:rsidRPr="007D3D4F" w:rsidRDefault="00AF66BB" w:rsidP="00D81598">
      <w:pPr>
        <w:numPr>
          <w:ilvl w:val="0"/>
          <w:numId w:val="7"/>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Promovarea combustibililor alternativi</w:t>
      </w:r>
      <w:r w:rsidRPr="007D3D4F">
        <w:rPr>
          <w:rFonts w:ascii="Times New Roman" w:hAnsi="Times New Roman" w:cs="Times New Roman"/>
          <w:color w:val="000000" w:themeColor="text1"/>
        </w:rPr>
        <w:t xml:space="preserve"> (electricitate, hidrogen, biocombustibili, gaze naturale) și </w:t>
      </w:r>
      <w:r w:rsidRPr="007D3D4F">
        <w:rPr>
          <w:rFonts w:ascii="Times New Roman" w:hAnsi="Times New Roman" w:cs="Times New Roman"/>
          <w:b/>
          <w:bCs/>
          <w:color w:val="000000" w:themeColor="text1"/>
        </w:rPr>
        <w:t>reducerea dependenței de combustibilii fosili</w:t>
      </w:r>
      <w:r w:rsidRPr="007D3D4F">
        <w:rPr>
          <w:rFonts w:ascii="Times New Roman" w:hAnsi="Times New Roman" w:cs="Times New Roman"/>
          <w:color w:val="000000" w:themeColor="text1"/>
        </w:rPr>
        <w:t>;</w:t>
      </w:r>
    </w:p>
    <w:p w14:paraId="3B763B0C" w14:textId="77777777" w:rsidR="00AF66BB" w:rsidRPr="007D3D4F" w:rsidRDefault="00AF66BB" w:rsidP="00D81598">
      <w:pPr>
        <w:numPr>
          <w:ilvl w:val="0"/>
          <w:numId w:val="7"/>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Dezvoltarea infrastructurii pentru energie curată</w:t>
      </w:r>
      <w:r w:rsidRPr="007D3D4F">
        <w:rPr>
          <w:rFonts w:ascii="Times New Roman" w:hAnsi="Times New Roman" w:cs="Times New Roman"/>
          <w:color w:val="000000" w:themeColor="text1"/>
        </w:rPr>
        <w:t>, prin extinderea rețelelor de încărcare și alimentare pentru vehiculele cu emisii reduse;</w:t>
      </w:r>
    </w:p>
    <w:p w14:paraId="41C40550" w14:textId="77777777" w:rsidR="00AF66BB" w:rsidRPr="007D3D4F" w:rsidRDefault="00AF66BB" w:rsidP="00D81598">
      <w:pPr>
        <w:numPr>
          <w:ilvl w:val="0"/>
          <w:numId w:val="7"/>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Interoperabilitate și standardizare</w:t>
      </w:r>
      <w:r w:rsidRPr="007D3D4F">
        <w:rPr>
          <w:rFonts w:ascii="Times New Roman" w:hAnsi="Times New Roman" w:cs="Times New Roman"/>
          <w:color w:val="000000" w:themeColor="text1"/>
        </w:rPr>
        <w:t xml:space="preserve"> în electromobilitate, pentru a facilita utilizarea vehiculelor electrice în întreaga UE;</w:t>
      </w:r>
    </w:p>
    <w:p w14:paraId="180CB29E" w14:textId="77777777" w:rsidR="00AF66BB" w:rsidRPr="007D3D4F" w:rsidRDefault="00AF66BB" w:rsidP="00D81598">
      <w:pPr>
        <w:numPr>
          <w:ilvl w:val="0"/>
          <w:numId w:val="7"/>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Mobilitate urbană durabilă</w:t>
      </w:r>
      <w:r w:rsidRPr="007D3D4F">
        <w:rPr>
          <w:rFonts w:ascii="Times New Roman" w:hAnsi="Times New Roman" w:cs="Times New Roman"/>
          <w:color w:val="000000" w:themeColor="text1"/>
        </w:rPr>
        <w:t>, cu accent pe transportul public, ciclism și mersul pe jos;</w:t>
      </w:r>
    </w:p>
    <w:p w14:paraId="3A2D2819" w14:textId="77777777" w:rsidR="00AF66BB" w:rsidRPr="007D3D4F" w:rsidRDefault="00AF66BB" w:rsidP="00D81598">
      <w:pPr>
        <w:numPr>
          <w:ilvl w:val="0"/>
          <w:numId w:val="7"/>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Implementarea soluțiilor inteligente de mobilitate</w:t>
      </w:r>
      <w:r w:rsidRPr="007D3D4F">
        <w:rPr>
          <w:rFonts w:ascii="Times New Roman" w:hAnsi="Times New Roman" w:cs="Times New Roman"/>
          <w:color w:val="000000" w:themeColor="text1"/>
        </w:rPr>
        <w:t>, prin digitalizare și automatizare a rețelelor de transport;</w:t>
      </w:r>
    </w:p>
    <w:p w14:paraId="7168129B" w14:textId="77777777" w:rsidR="00AF66BB" w:rsidRPr="007D3D4F" w:rsidRDefault="00AF66BB" w:rsidP="00D81598">
      <w:pPr>
        <w:numPr>
          <w:ilvl w:val="0"/>
          <w:numId w:val="7"/>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Îmbunătățirea testării emisiilor și introducerea de noi standarde</w:t>
      </w:r>
      <w:r w:rsidRPr="007D3D4F">
        <w:rPr>
          <w:rFonts w:ascii="Times New Roman" w:hAnsi="Times New Roman" w:cs="Times New Roman"/>
          <w:color w:val="000000" w:themeColor="text1"/>
        </w:rPr>
        <w:t xml:space="preserve"> pentru autoturisme și camionete, cu accent pe impactul economic și industrial</w:t>
      </w:r>
      <w:r w:rsidRPr="007D3D4F">
        <w:rPr>
          <w:rStyle w:val="Referinnotdesubsol"/>
          <w:rFonts w:ascii="Times New Roman" w:hAnsi="Times New Roman" w:cs="Times New Roman"/>
          <w:color w:val="000000" w:themeColor="text1"/>
        </w:rPr>
        <w:footnoteReference w:id="18"/>
      </w:r>
      <w:r w:rsidRPr="007D3D4F">
        <w:rPr>
          <w:rFonts w:ascii="Times New Roman" w:hAnsi="Times New Roman" w:cs="Times New Roman"/>
          <w:color w:val="000000" w:themeColor="text1"/>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4"/>
        <w:gridCol w:w="1896"/>
      </w:tblGrid>
      <w:tr w:rsidR="00AF66BB" w:rsidRPr="007D3D4F" w14:paraId="2385495B" w14:textId="77777777" w:rsidTr="00355431">
        <w:tc>
          <w:tcPr>
            <w:tcW w:w="8075" w:type="dxa"/>
            <w:tcBorders>
              <w:top w:val="single" w:sz="12" w:space="0" w:color="FFC000"/>
              <w:bottom w:val="single" w:sz="12" w:space="0" w:color="FFC000"/>
            </w:tcBorders>
          </w:tcPr>
          <w:p w14:paraId="409EC81C" w14:textId="77777777" w:rsidR="00AF66BB" w:rsidRPr="007D3D4F" w:rsidRDefault="00AF66BB" w:rsidP="004C072F">
            <w:pPr>
              <w:spacing w:before="120" w:after="120"/>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Strategia europeană pentru mobilitatea cu emisii reduse este relevantă pentru strategia de transport integrat și mobilitate durabilă în Județul Tulcea deoarece susține tranziția către un transport mai curat, încurajează utilizarea combustibililor alternativi, dezvoltarea infrastructurii pentru vehicule cu emisii reduse și promovarea mobilității urbane durabile, toate fiind priorități esențiale pentru un județ care urmărește modernizarea sustenabilă a rețelelor de transport.</w:t>
            </w:r>
          </w:p>
        </w:tc>
        <w:tc>
          <w:tcPr>
            <w:tcW w:w="1275" w:type="dxa"/>
            <w:tcBorders>
              <w:top w:val="single" w:sz="12" w:space="0" w:color="FFC000"/>
              <w:bottom w:val="single" w:sz="12" w:space="0" w:color="FFC000"/>
            </w:tcBorders>
          </w:tcPr>
          <w:p w14:paraId="266FA121" w14:textId="77777777" w:rsidR="00AF66BB" w:rsidRPr="007D3D4F" w:rsidRDefault="00AF66BB" w:rsidP="004C072F">
            <w:pPr>
              <w:spacing w:before="120" w:after="120"/>
              <w:contextualSpacing/>
              <w:jc w:val="both"/>
              <w:rPr>
                <w:rFonts w:ascii="Times New Roman" w:hAnsi="Times New Roman" w:cs="Times New Roman"/>
                <w:b/>
                <w:bCs/>
                <w:color w:val="000000" w:themeColor="text1"/>
              </w:rPr>
            </w:pPr>
            <w:r w:rsidRPr="007D3D4F">
              <w:rPr>
                <w:rFonts w:ascii="Times New Roman" w:hAnsi="Times New Roman" w:cs="Times New Roman"/>
                <w:noProof/>
                <w:lang w:eastAsia="ro-RO"/>
              </w:rPr>
              <w:drawing>
                <wp:inline distT="0" distB="0" distL="0" distR="0" wp14:anchorId="694779FA" wp14:editId="761F601B">
                  <wp:extent cx="1066800" cy="1129113"/>
                  <wp:effectExtent l="0" t="0" r="0" b="0"/>
                  <wp:docPr id="1680867863" name="Picture 33" descr="desen linie gradient rece de o săgeată de regie de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 linie gradient rece de o săgeată de regie de desene an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841" cy="1146091"/>
                          </a:xfrm>
                          <a:prstGeom prst="rect">
                            <a:avLst/>
                          </a:prstGeom>
                          <a:noFill/>
                          <a:ln>
                            <a:noFill/>
                          </a:ln>
                        </pic:spPr>
                      </pic:pic>
                    </a:graphicData>
                  </a:graphic>
                </wp:inline>
              </w:drawing>
            </w:r>
          </w:p>
        </w:tc>
      </w:tr>
    </w:tbl>
    <w:p w14:paraId="4B5BDDC8"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5. Pactul Verde European</w:t>
      </w:r>
      <w:r w:rsidRPr="007D3D4F">
        <w:rPr>
          <w:rFonts w:ascii="Times New Roman" w:hAnsi="Times New Roman" w:cs="Times New Roman"/>
          <w:color w:val="000000" w:themeColor="text1"/>
        </w:rPr>
        <w:t xml:space="preserve"> </w:t>
      </w:r>
    </w:p>
    <w:p w14:paraId="1E582490"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b/>
          <w:bCs/>
          <w:noProof/>
          <w:color w:val="000000" w:themeColor="text1"/>
          <w:lang w:eastAsia="ro-RO"/>
        </w:rPr>
        <mc:AlternateContent>
          <mc:Choice Requires="wps">
            <w:drawing>
              <wp:anchor distT="0" distB="0" distL="114300" distR="114300" simplePos="0" relativeHeight="251741184" behindDoc="0" locked="0" layoutInCell="1" allowOverlap="1" wp14:anchorId="2CB6E86A" wp14:editId="7FFF070A">
                <wp:simplePos x="0" y="0"/>
                <wp:positionH relativeFrom="column">
                  <wp:posOffset>0</wp:posOffset>
                </wp:positionH>
                <wp:positionV relativeFrom="paragraph">
                  <wp:posOffset>18415</wp:posOffset>
                </wp:positionV>
                <wp:extent cx="5943600" cy="0"/>
                <wp:effectExtent l="0" t="19050" r="19050" b="19050"/>
                <wp:wrapNone/>
                <wp:docPr id="778818313"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FFA5B6" id="Straight Connector 3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" strokecolor="#4472c4" strokeweight="3pt">
                <v:stroke joinstyle="miter"/>
              </v:line>
            </w:pict>
          </mc:Fallback>
        </mc:AlternateContent>
      </w:r>
    </w:p>
    <w:p w14:paraId="367F7929"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Pactul Verde European</w:t>
      </w:r>
      <w:r w:rsidRPr="007D3D4F">
        <w:rPr>
          <w:rFonts w:ascii="Times New Roman" w:hAnsi="Times New Roman" w:cs="Times New Roman"/>
          <w:color w:val="000000" w:themeColor="text1"/>
        </w:rPr>
        <w:t>, lansat de Comisia Europeană, este inițiativa strategică prin care Uniunea Europeană își propune să devină primul continent neutru din punct de vedere climatic până în anul 2050. În acest context, sectorul transporturilor joacă un rol esențial, fiind vizat de măsuri ample de reducere a emisiilor de carbon și de transformare sustenabilă a mobilității.</w:t>
      </w:r>
    </w:p>
    <w:p w14:paraId="5357F35C"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Pactul promovează tranziția către un sistem de transport cu emisii reduse prin:</w:t>
      </w:r>
    </w:p>
    <w:p w14:paraId="701FE59D" w14:textId="77777777" w:rsidR="00AF66BB" w:rsidRPr="007D3D4F" w:rsidRDefault="00AF66BB" w:rsidP="00D81598">
      <w:pPr>
        <w:numPr>
          <w:ilvl w:val="0"/>
          <w:numId w:val="8"/>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Dezvoltarea transportului public electric</w:t>
      </w:r>
      <w:r w:rsidRPr="007D3D4F">
        <w:rPr>
          <w:rFonts w:ascii="Times New Roman" w:hAnsi="Times New Roman" w:cs="Times New Roman"/>
          <w:color w:val="000000" w:themeColor="text1"/>
        </w:rPr>
        <w:t xml:space="preserve"> și a rețelelor de infrastructură pentru vehicule cu emisii zero;</w:t>
      </w:r>
    </w:p>
    <w:p w14:paraId="12B8A608" w14:textId="77777777" w:rsidR="00AF66BB" w:rsidRPr="007D3D4F" w:rsidRDefault="00AF66BB" w:rsidP="00D81598">
      <w:pPr>
        <w:numPr>
          <w:ilvl w:val="0"/>
          <w:numId w:val="8"/>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Stimularea mobilității active</w:t>
      </w:r>
      <w:r w:rsidRPr="007D3D4F">
        <w:rPr>
          <w:rFonts w:ascii="Times New Roman" w:hAnsi="Times New Roman" w:cs="Times New Roman"/>
          <w:color w:val="000000" w:themeColor="text1"/>
        </w:rPr>
        <w:t>, precum mersul pe jos și ciclismul, prin extinderea infrastructurii pentru biciclete și piste dedicate;</w:t>
      </w:r>
    </w:p>
    <w:p w14:paraId="50C64D42" w14:textId="77777777" w:rsidR="00AF66BB" w:rsidRPr="007D3D4F" w:rsidRDefault="00AF66BB" w:rsidP="00D81598">
      <w:pPr>
        <w:numPr>
          <w:ilvl w:val="0"/>
          <w:numId w:val="8"/>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Promovarea vehiculelor curate</w:t>
      </w:r>
      <w:r w:rsidRPr="007D3D4F">
        <w:rPr>
          <w:rFonts w:ascii="Times New Roman" w:hAnsi="Times New Roman" w:cs="Times New Roman"/>
          <w:color w:val="000000" w:themeColor="text1"/>
        </w:rPr>
        <w:t>, inclusiv prin extinderea rețelelor de stații de încărcare rapidă;</w:t>
      </w:r>
    </w:p>
    <w:p w14:paraId="628EBA56" w14:textId="77777777" w:rsidR="00AF66BB" w:rsidRPr="007D3D4F" w:rsidRDefault="00AF66BB" w:rsidP="00D81598">
      <w:pPr>
        <w:numPr>
          <w:ilvl w:val="0"/>
          <w:numId w:val="8"/>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lastRenderedPageBreak/>
        <w:t>Sprijinirea cercetării și inovării</w:t>
      </w:r>
      <w:r w:rsidRPr="007D3D4F">
        <w:rPr>
          <w:rFonts w:ascii="Times New Roman" w:hAnsi="Times New Roman" w:cs="Times New Roman"/>
          <w:color w:val="000000" w:themeColor="text1"/>
        </w:rPr>
        <w:t xml:space="preserve"> în domeniul mobilității sustenabile și al logisticii inteligente;</w:t>
      </w:r>
    </w:p>
    <w:p w14:paraId="188F5B86" w14:textId="77777777" w:rsidR="00AF66BB" w:rsidRPr="007D3D4F" w:rsidRDefault="00AF66BB" w:rsidP="00D81598">
      <w:pPr>
        <w:numPr>
          <w:ilvl w:val="0"/>
          <w:numId w:val="8"/>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Reducerea poluării fonice</w:t>
      </w:r>
      <w:r w:rsidRPr="007D3D4F">
        <w:rPr>
          <w:rFonts w:ascii="Times New Roman" w:hAnsi="Times New Roman" w:cs="Times New Roman"/>
          <w:color w:val="000000" w:themeColor="text1"/>
        </w:rPr>
        <w:t>, prin introducerea de soluții tehnologice și infrastructurale care reduc zgomotul generat de trafic;</w:t>
      </w:r>
    </w:p>
    <w:p w14:paraId="4EB6D4D5" w14:textId="77777777" w:rsidR="00AF66BB" w:rsidRPr="007D3D4F" w:rsidRDefault="00AF66BB" w:rsidP="00D81598">
      <w:pPr>
        <w:numPr>
          <w:ilvl w:val="0"/>
          <w:numId w:val="8"/>
        </w:numPr>
        <w:spacing w:before="120" w:after="120" w:line="240" w:lineRule="auto"/>
        <w:ind w:left="714" w:hanging="357"/>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Transferul modurilor de transport către opțiuni mai sustenabile</w:t>
      </w:r>
      <w:r w:rsidRPr="007D3D4F">
        <w:rPr>
          <w:rFonts w:ascii="Times New Roman" w:hAnsi="Times New Roman" w:cs="Times New Roman"/>
          <w:color w:val="000000" w:themeColor="text1"/>
        </w:rPr>
        <w:t>, cum ar fi transportul feroviar și maritim pentru mărfuri, cu scopul de a reduce congestionarea rutieră și emisiile.</w:t>
      </w:r>
    </w:p>
    <w:p w14:paraId="570FCF36"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Prin aceste măsuri integrate, Pactul Verde urmărește modernizarea fundamentală a sistemului de transport european, în linie cu obiectivul general de neutralitate climatică și de protecție a mediului</w:t>
      </w:r>
      <w:r w:rsidRPr="007D3D4F">
        <w:rPr>
          <w:rStyle w:val="Referinnotdesubsol"/>
          <w:rFonts w:ascii="Times New Roman" w:hAnsi="Times New Roman" w:cs="Times New Roman"/>
          <w:color w:val="000000" w:themeColor="text1"/>
        </w:rPr>
        <w:footnoteReference w:id="19"/>
      </w:r>
      <w:r w:rsidRPr="007D3D4F">
        <w:rPr>
          <w:rFonts w:ascii="Times New Roman" w:hAnsi="Times New Roman" w:cs="Times New Roman"/>
          <w:color w:val="000000" w:themeColor="text1"/>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4"/>
        <w:gridCol w:w="1896"/>
      </w:tblGrid>
      <w:tr w:rsidR="00AF66BB" w:rsidRPr="007D3D4F" w14:paraId="5FB0F9EA" w14:textId="77777777" w:rsidTr="00355431">
        <w:tc>
          <w:tcPr>
            <w:tcW w:w="8075" w:type="dxa"/>
            <w:tcBorders>
              <w:top w:val="single" w:sz="12" w:space="0" w:color="FFC000"/>
              <w:bottom w:val="single" w:sz="12" w:space="0" w:color="FFC000"/>
            </w:tcBorders>
          </w:tcPr>
          <w:p w14:paraId="148D30AC" w14:textId="77777777" w:rsidR="00AF66BB" w:rsidRPr="007D3D4F" w:rsidRDefault="00AF66BB" w:rsidP="004C072F">
            <w:pPr>
              <w:spacing w:before="120" w:after="120"/>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Pactul Verde European este relevant pentru strategia din Județul Tulcea deoarece susține tranziția către un transport curat, promovează mobilitatea electrică, infrastructura pentru vehicule cu emisii zero, transportul public durabil și mobilitatea activă, oferind astfel un cadru strategic esențial pentru dezvoltarea unui sistem de transport modern, ecologic și aliniat obiectivelor climatice europene.</w:t>
            </w:r>
          </w:p>
        </w:tc>
        <w:tc>
          <w:tcPr>
            <w:tcW w:w="1275" w:type="dxa"/>
            <w:tcBorders>
              <w:top w:val="single" w:sz="12" w:space="0" w:color="FFC000"/>
              <w:bottom w:val="single" w:sz="12" w:space="0" w:color="FFC000"/>
            </w:tcBorders>
          </w:tcPr>
          <w:p w14:paraId="0790F919" w14:textId="77777777" w:rsidR="00AF66BB" w:rsidRPr="007D3D4F" w:rsidRDefault="00AF66BB" w:rsidP="004C072F">
            <w:pPr>
              <w:spacing w:before="120" w:after="120"/>
              <w:contextualSpacing/>
              <w:jc w:val="both"/>
              <w:rPr>
                <w:rFonts w:ascii="Times New Roman" w:hAnsi="Times New Roman" w:cs="Times New Roman"/>
                <w:b/>
                <w:bCs/>
                <w:color w:val="000000" w:themeColor="text1"/>
              </w:rPr>
            </w:pPr>
            <w:r w:rsidRPr="007D3D4F">
              <w:rPr>
                <w:rFonts w:ascii="Times New Roman" w:hAnsi="Times New Roman" w:cs="Times New Roman"/>
                <w:noProof/>
                <w:lang w:eastAsia="ro-RO"/>
              </w:rPr>
              <w:drawing>
                <wp:inline distT="0" distB="0" distL="0" distR="0" wp14:anchorId="75BE1758" wp14:editId="18928FF8">
                  <wp:extent cx="1066800" cy="1129113"/>
                  <wp:effectExtent l="0" t="0" r="0" b="0"/>
                  <wp:docPr id="143668835" name="Picture 33" descr="desen linie gradient rece de o săgeată de regie de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 linie gradient rece de o săgeată de regie de desene an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841" cy="1146091"/>
                          </a:xfrm>
                          <a:prstGeom prst="rect">
                            <a:avLst/>
                          </a:prstGeom>
                          <a:noFill/>
                          <a:ln>
                            <a:noFill/>
                          </a:ln>
                        </pic:spPr>
                      </pic:pic>
                    </a:graphicData>
                  </a:graphic>
                </wp:inline>
              </w:drawing>
            </w:r>
          </w:p>
        </w:tc>
      </w:tr>
    </w:tbl>
    <w:p w14:paraId="75BC3FF6" w14:textId="77777777" w:rsidR="004604FA" w:rsidRDefault="004604FA" w:rsidP="004C072F">
      <w:pPr>
        <w:spacing w:before="120" w:after="120" w:line="240" w:lineRule="auto"/>
        <w:contextualSpacing/>
        <w:jc w:val="both"/>
        <w:rPr>
          <w:rFonts w:ascii="Times New Roman" w:hAnsi="Times New Roman" w:cs="Times New Roman"/>
          <w:b/>
          <w:bCs/>
          <w:spacing w:val="-6"/>
        </w:rPr>
      </w:pPr>
    </w:p>
    <w:p w14:paraId="23706AF0" w14:textId="1D4B8865" w:rsidR="00AF66BB" w:rsidRPr="007D3D4F" w:rsidRDefault="00AF66BB" w:rsidP="004C072F">
      <w:pPr>
        <w:spacing w:before="120" w:after="120" w:line="240" w:lineRule="auto"/>
        <w:contextualSpacing/>
        <w:jc w:val="both"/>
        <w:rPr>
          <w:rFonts w:ascii="Times New Roman" w:hAnsi="Times New Roman" w:cs="Times New Roman"/>
          <w:spacing w:val="-6"/>
        </w:rPr>
      </w:pPr>
      <w:r w:rsidRPr="007D3D4F">
        <w:rPr>
          <w:rFonts w:ascii="Times New Roman" w:hAnsi="Times New Roman" w:cs="Times New Roman"/>
          <w:b/>
          <w:bCs/>
          <w:noProof/>
          <w:color w:val="000000" w:themeColor="text1"/>
          <w:lang w:eastAsia="ro-RO"/>
        </w:rPr>
        <mc:AlternateContent>
          <mc:Choice Requires="wps">
            <w:drawing>
              <wp:anchor distT="0" distB="0" distL="114300" distR="114300" simplePos="0" relativeHeight="251742208" behindDoc="0" locked="0" layoutInCell="1" allowOverlap="1" wp14:anchorId="49A9E074" wp14:editId="1514A74C">
                <wp:simplePos x="0" y="0"/>
                <wp:positionH relativeFrom="column">
                  <wp:posOffset>0</wp:posOffset>
                </wp:positionH>
                <wp:positionV relativeFrom="paragraph">
                  <wp:posOffset>474980</wp:posOffset>
                </wp:positionV>
                <wp:extent cx="5943600" cy="0"/>
                <wp:effectExtent l="0" t="19050" r="19050" b="19050"/>
                <wp:wrapNone/>
                <wp:docPr id="1621229526"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15E9F2" id="Straight Connector 30"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0,37.4pt" to="468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" strokecolor="#4472c4" strokeweight="3pt">
                <v:stroke joinstyle="miter"/>
              </v:line>
            </w:pict>
          </mc:Fallback>
        </mc:AlternateContent>
      </w:r>
      <w:r w:rsidRPr="007D3D4F">
        <w:rPr>
          <w:rFonts w:ascii="Times New Roman" w:hAnsi="Times New Roman" w:cs="Times New Roman"/>
          <w:b/>
          <w:bCs/>
          <w:spacing w:val="-6"/>
        </w:rPr>
        <w:t>6. Strategia UE pentru mobilitate sustenabilă și inteligentă</w:t>
      </w:r>
      <w:r w:rsidRPr="007D3D4F">
        <w:rPr>
          <w:rFonts w:ascii="Times New Roman" w:hAnsi="Times New Roman" w:cs="Times New Roman"/>
          <w:spacing w:val="-6"/>
        </w:rPr>
        <w:t xml:space="preserve"> </w:t>
      </w:r>
      <w:r w:rsidRPr="007D3D4F">
        <w:rPr>
          <w:rFonts w:ascii="Times New Roman" w:hAnsi="Times New Roman" w:cs="Times New Roman"/>
          <w:b/>
          <w:bCs/>
          <w:spacing w:val="-6"/>
        </w:rPr>
        <w:t>– înscrierea transporturilor europene pe calea viitorului</w:t>
      </w:r>
    </w:p>
    <w:p w14:paraId="2AC3465E" w14:textId="77777777" w:rsidR="00AF66BB" w:rsidRPr="007D3D4F" w:rsidRDefault="00AF66BB" w:rsidP="004C072F">
      <w:pPr>
        <w:spacing w:before="120" w:after="120" w:line="240" w:lineRule="auto"/>
        <w:contextualSpacing/>
        <w:jc w:val="both"/>
        <w:rPr>
          <w:rFonts w:ascii="Times New Roman" w:hAnsi="Times New Roman" w:cs="Times New Roman"/>
          <w:spacing w:val="-6"/>
        </w:rPr>
      </w:pPr>
      <w:r w:rsidRPr="007D3D4F">
        <w:rPr>
          <w:rFonts w:ascii="Times New Roman" w:hAnsi="Times New Roman" w:cs="Times New Roman"/>
          <w:spacing w:val="-6"/>
        </w:rPr>
        <w:t xml:space="preserve"> </w:t>
      </w:r>
    </w:p>
    <w:p w14:paraId="206F3B13" w14:textId="77777777" w:rsidR="00AF66BB" w:rsidRPr="007D3D4F" w:rsidRDefault="00AF66BB" w:rsidP="004C072F">
      <w:pPr>
        <w:spacing w:before="120" w:after="120" w:line="240" w:lineRule="auto"/>
        <w:contextualSpacing/>
        <w:jc w:val="both"/>
        <w:rPr>
          <w:rFonts w:ascii="Times New Roman" w:hAnsi="Times New Roman" w:cs="Times New Roman"/>
          <w:spacing w:val="-6"/>
        </w:rPr>
      </w:pPr>
      <w:r w:rsidRPr="007D3D4F">
        <w:rPr>
          <w:rFonts w:ascii="Times New Roman" w:hAnsi="Times New Roman" w:cs="Times New Roman"/>
          <w:spacing w:val="-6"/>
        </w:rPr>
        <w:t xml:space="preserve">Lansată în decembrie 2020, </w:t>
      </w:r>
      <w:r w:rsidRPr="007D3D4F">
        <w:rPr>
          <w:rFonts w:ascii="Times New Roman" w:hAnsi="Times New Roman" w:cs="Times New Roman"/>
          <w:b/>
          <w:bCs/>
          <w:spacing w:val="-6"/>
        </w:rPr>
        <w:t>Strategia Uniunii Europene pentru mobilitate sustenabilă și inteligentă</w:t>
      </w:r>
      <w:r w:rsidRPr="007D3D4F">
        <w:rPr>
          <w:rFonts w:ascii="Times New Roman" w:hAnsi="Times New Roman" w:cs="Times New Roman"/>
          <w:spacing w:val="-6"/>
        </w:rPr>
        <w:t xml:space="preserve"> stabilește direcțiile de acțiune pentru transformarea transporturilor europene într-un sistem durabil, digital și rezilient. Documentul propune măsuri concrete în 10 domenii-cheie, având ca obiectiv atingerea neutralității climatice în transporturi până în 2050.</w:t>
      </w:r>
    </w:p>
    <w:p w14:paraId="663A00D9" w14:textId="77777777" w:rsidR="00AF66BB" w:rsidRPr="007D3D4F" w:rsidRDefault="00AF66BB" w:rsidP="004C072F">
      <w:pPr>
        <w:spacing w:before="120" w:after="120" w:line="240" w:lineRule="auto"/>
        <w:contextualSpacing/>
        <w:jc w:val="both"/>
        <w:rPr>
          <w:rFonts w:ascii="Times New Roman" w:hAnsi="Times New Roman" w:cs="Times New Roman"/>
          <w:spacing w:val="-6"/>
        </w:rPr>
      </w:pPr>
      <w:r w:rsidRPr="007D3D4F">
        <w:rPr>
          <w:rFonts w:ascii="Times New Roman" w:hAnsi="Times New Roman" w:cs="Times New Roman"/>
          <w:spacing w:val="-6"/>
        </w:rPr>
        <w:t>Printre prioritățile strategiei se numără:</w:t>
      </w:r>
    </w:p>
    <w:p w14:paraId="5A3F6078" w14:textId="77777777" w:rsidR="00AF66BB" w:rsidRPr="007D3D4F" w:rsidRDefault="00AF66BB" w:rsidP="00D81598">
      <w:pPr>
        <w:numPr>
          <w:ilvl w:val="0"/>
          <w:numId w:val="9"/>
        </w:numPr>
        <w:spacing w:before="120" w:after="120" w:line="240" w:lineRule="auto"/>
        <w:ind w:left="714" w:hanging="357"/>
        <w:contextualSpacing/>
        <w:jc w:val="both"/>
        <w:rPr>
          <w:rFonts w:ascii="Times New Roman" w:hAnsi="Times New Roman" w:cs="Times New Roman"/>
          <w:spacing w:val="-6"/>
        </w:rPr>
      </w:pPr>
      <w:r w:rsidRPr="007D3D4F">
        <w:rPr>
          <w:rFonts w:ascii="Times New Roman" w:hAnsi="Times New Roman" w:cs="Times New Roman"/>
          <w:b/>
          <w:bCs/>
          <w:spacing w:val="-6"/>
        </w:rPr>
        <w:t>Creșterea numărului de vehicule cu emisii zero</w:t>
      </w:r>
      <w:r w:rsidRPr="007D3D4F">
        <w:rPr>
          <w:rFonts w:ascii="Times New Roman" w:hAnsi="Times New Roman" w:cs="Times New Roman"/>
          <w:spacing w:val="-6"/>
        </w:rPr>
        <w:t>;</w:t>
      </w:r>
    </w:p>
    <w:p w14:paraId="4C64BB0D" w14:textId="77777777" w:rsidR="00AF66BB" w:rsidRPr="007D3D4F" w:rsidRDefault="00AF66BB" w:rsidP="00D81598">
      <w:pPr>
        <w:numPr>
          <w:ilvl w:val="0"/>
          <w:numId w:val="9"/>
        </w:numPr>
        <w:spacing w:before="120" w:after="120" w:line="240" w:lineRule="auto"/>
        <w:ind w:left="714" w:hanging="357"/>
        <w:contextualSpacing/>
        <w:jc w:val="both"/>
        <w:rPr>
          <w:rFonts w:ascii="Times New Roman" w:hAnsi="Times New Roman" w:cs="Times New Roman"/>
          <w:spacing w:val="-6"/>
        </w:rPr>
      </w:pPr>
      <w:r w:rsidRPr="007D3D4F">
        <w:rPr>
          <w:rFonts w:ascii="Times New Roman" w:hAnsi="Times New Roman" w:cs="Times New Roman"/>
          <w:b/>
          <w:bCs/>
          <w:spacing w:val="-6"/>
        </w:rPr>
        <w:t>Oferirea de alternative durabile</w:t>
      </w:r>
      <w:r w:rsidRPr="007D3D4F">
        <w:rPr>
          <w:rFonts w:ascii="Times New Roman" w:hAnsi="Times New Roman" w:cs="Times New Roman"/>
          <w:spacing w:val="-6"/>
        </w:rPr>
        <w:t xml:space="preserve"> pentru cetățeni și întreprinderi;</w:t>
      </w:r>
    </w:p>
    <w:p w14:paraId="4F68CB4C" w14:textId="77777777" w:rsidR="00AF66BB" w:rsidRPr="007D3D4F" w:rsidRDefault="00AF66BB" w:rsidP="00D81598">
      <w:pPr>
        <w:numPr>
          <w:ilvl w:val="0"/>
          <w:numId w:val="9"/>
        </w:numPr>
        <w:spacing w:before="120" w:after="120" w:line="240" w:lineRule="auto"/>
        <w:ind w:left="714" w:hanging="357"/>
        <w:contextualSpacing/>
        <w:jc w:val="both"/>
        <w:rPr>
          <w:rFonts w:ascii="Times New Roman" w:hAnsi="Times New Roman" w:cs="Times New Roman"/>
          <w:spacing w:val="-6"/>
        </w:rPr>
      </w:pPr>
      <w:r w:rsidRPr="007D3D4F">
        <w:rPr>
          <w:rFonts w:ascii="Times New Roman" w:hAnsi="Times New Roman" w:cs="Times New Roman"/>
          <w:b/>
          <w:bCs/>
          <w:spacing w:val="-6"/>
        </w:rPr>
        <w:t>Sprijinirea digitalizării și automatizării transporturilor</w:t>
      </w:r>
      <w:r w:rsidRPr="007D3D4F">
        <w:rPr>
          <w:rFonts w:ascii="Times New Roman" w:hAnsi="Times New Roman" w:cs="Times New Roman"/>
          <w:spacing w:val="-6"/>
        </w:rPr>
        <w:t>;</w:t>
      </w:r>
    </w:p>
    <w:p w14:paraId="024BF9D4" w14:textId="77777777" w:rsidR="00AF66BB" w:rsidRPr="007D3D4F" w:rsidRDefault="00AF66BB" w:rsidP="00D81598">
      <w:pPr>
        <w:numPr>
          <w:ilvl w:val="0"/>
          <w:numId w:val="9"/>
        </w:numPr>
        <w:spacing w:before="120" w:after="120" w:line="240" w:lineRule="auto"/>
        <w:ind w:left="714" w:hanging="357"/>
        <w:contextualSpacing/>
        <w:jc w:val="both"/>
        <w:rPr>
          <w:rFonts w:ascii="Times New Roman" w:hAnsi="Times New Roman" w:cs="Times New Roman"/>
          <w:spacing w:val="-6"/>
        </w:rPr>
      </w:pPr>
      <w:r w:rsidRPr="007D3D4F">
        <w:rPr>
          <w:rFonts w:ascii="Times New Roman" w:hAnsi="Times New Roman" w:cs="Times New Roman"/>
          <w:b/>
          <w:bCs/>
          <w:spacing w:val="-6"/>
        </w:rPr>
        <w:t>Îmbunătățirea conectivității și accesului la mobilitate</w:t>
      </w:r>
      <w:r w:rsidRPr="007D3D4F">
        <w:rPr>
          <w:rFonts w:ascii="Times New Roman" w:hAnsi="Times New Roman" w:cs="Times New Roman"/>
          <w:spacing w:val="-6"/>
        </w:rPr>
        <w:t xml:space="preserve"> pentru toate regiunile UE.</w:t>
      </w:r>
    </w:p>
    <w:p w14:paraId="37BBFDFA" w14:textId="77777777" w:rsidR="00AF66BB" w:rsidRPr="007D3D4F" w:rsidRDefault="00AF66BB" w:rsidP="004C072F">
      <w:pPr>
        <w:spacing w:before="120" w:after="120" w:line="240" w:lineRule="auto"/>
        <w:contextualSpacing/>
        <w:jc w:val="both"/>
        <w:rPr>
          <w:rFonts w:ascii="Times New Roman" w:hAnsi="Times New Roman" w:cs="Times New Roman"/>
          <w:spacing w:val="-6"/>
        </w:rPr>
      </w:pPr>
      <w:r w:rsidRPr="007D3D4F">
        <w:rPr>
          <w:rFonts w:ascii="Times New Roman" w:hAnsi="Times New Roman" w:cs="Times New Roman"/>
          <w:spacing w:val="-6"/>
        </w:rPr>
        <w:t>Strategia propune un cadru coerent pentru modernizarea sectorului de transport în acord cu tranziția verde și digitală a Europei</w:t>
      </w:r>
      <w:r w:rsidRPr="007D3D4F">
        <w:rPr>
          <w:rStyle w:val="Referinnotdesubsol"/>
          <w:rFonts w:ascii="Times New Roman" w:hAnsi="Times New Roman" w:cs="Times New Roman"/>
          <w:spacing w:val="-6"/>
        </w:rPr>
        <w:footnoteReference w:id="20"/>
      </w:r>
      <w:r w:rsidRPr="007D3D4F">
        <w:rPr>
          <w:rFonts w:ascii="Times New Roman" w:hAnsi="Times New Roman" w:cs="Times New Roman"/>
          <w:spacing w:val="-6"/>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4"/>
        <w:gridCol w:w="1896"/>
      </w:tblGrid>
      <w:tr w:rsidR="00AF66BB" w:rsidRPr="007D3D4F" w14:paraId="3E44B3F8" w14:textId="77777777" w:rsidTr="00355431">
        <w:tc>
          <w:tcPr>
            <w:tcW w:w="8075" w:type="dxa"/>
            <w:tcBorders>
              <w:top w:val="single" w:sz="12" w:space="0" w:color="FFC000"/>
              <w:bottom w:val="single" w:sz="12" w:space="0" w:color="FFC000"/>
            </w:tcBorders>
          </w:tcPr>
          <w:p w14:paraId="420B2FFF" w14:textId="77777777" w:rsidR="00AF66BB" w:rsidRPr="007D3D4F" w:rsidRDefault="00AF66BB" w:rsidP="004C072F">
            <w:pPr>
              <w:spacing w:before="120" w:after="120"/>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Strategia UE pentru mobilitate sustenabilă și inteligentă este relevantă pentru prezenta strategie deoarece sprijină dezvoltarea unui sistem de transport modern, digital și ecologic, încurajând adoptarea vehiculelor cu emisii reduse, îmbunătățirea conectivității în zonele izolate și oferirea de soluții de mobilitate durabilă adaptate nevoilor comunităților locale.</w:t>
            </w:r>
          </w:p>
        </w:tc>
        <w:tc>
          <w:tcPr>
            <w:tcW w:w="1275" w:type="dxa"/>
            <w:tcBorders>
              <w:top w:val="single" w:sz="12" w:space="0" w:color="FFC000"/>
              <w:bottom w:val="single" w:sz="12" w:space="0" w:color="FFC000"/>
            </w:tcBorders>
          </w:tcPr>
          <w:p w14:paraId="423D21C1" w14:textId="77777777" w:rsidR="00AF66BB" w:rsidRPr="007D3D4F" w:rsidRDefault="00AF66BB" w:rsidP="004C072F">
            <w:pPr>
              <w:spacing w:before="120" w:after="120"/>
              <w:contextualSpacing/>
              <w:jc w:val="both"/>
              <w:rPr>
                <w:rFonts w:ascii="Times New Roman" w:hAnsi="Times New Roman" w:cs="Times New Roman"/>
                <w:b/>
                <w:bCs/>
                <w:color w:val="000000" w:themeColor="text1"/>
              </w:rPr>
            </w:pPr>
            <w:r w:rsidRPr="007D3D4F">
              <w:rPr>
                <w:rFonts w:ascii="Times New Roman" w:hAnsi="Times New Roman" w:cs="Times New Roman"/>
                <w:noProof/>
                <w:lang w:eastAsia="ro-RO"/>
              </w:rPr>
              <w:drawing>
                <wp:inline distT="0" distB="0" distL="0" distR="0" wp14:anchorId="5462CA54" wp14:editId="6CF8C970">
                  <wp:extent cx="1066800" cy="1129113"/>
                  <wp:effectExtent l="0" t="0" r="0" b="0"/>
                  <wp:docPr id="2087142353" name="Picture 33" descr="desen linie gradient rece de o săgeată de regie de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 linie gradient rece de o săgeată de regie de desene an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841" cy="1146091"/>
                          </a:xfrm>
                          <a:prstGeom prst="rect">
                            <a:avLst/>
                          </a:prstGeom>
                          <a:noFill/>
                          <a:ln>
                            <a:noFill/>
                          </a:ln>
                        </pic:spPr>
                      </pic:pic>
                    </a:graphicData>
                  </a:graphic>
                </wp:inline>
              </w:drawing>
            </w:r>
          </w:p>
        </w:tc>
      </w:tr>
    </w:tbl>
    <w:p w14:paraId="6CB8F62D" w14:textId="77777777" w:rsidR="00AF66BB" w:rsidRPr="007D3D4F" w:rsidRDefault="00AF66BB" w:rsidP="004C072F">
      <w:pPr>
        <w:spacing w:before="120" w:after="120" w:line="240" w:lineRule="auto"/>
        <w:contextualSpacing/>
        <w:jc w:val="both"/>
        <w:rPr>
          <w:rFonts w:ascii="Times New Roman" w:hAnsi="Times New Roman" w:cs="Times New Roman"/>
        </w:rPr>
      </w:pPr>
    </w:p>
    <w:p w14:paraId="50360929" w14:textId="77777777" w:rsidR="004604FA" w:rsidRDefault="004604FA" w:rsidP="004C072F">
      <w:pPr>
        <w:spacing w:before="120" w:after="120" w:line="240" w:lineRule="auto"/>
        <w:contextualSpacing/>
        <w:jc w:val="both"/>
        <w:rPr>
          <w:rFonts w:ascii="Times New Roman" w:hAnsi="Times New Roman" w:cs="Times New Roman"/>
          <w:b/>
          <w:bCs/>
        </w:rPr>
      </w:pPr>
    </w:p>
    <w:p w14:paraId="5A876170" w14:textId="77777777" w:rsidR="004604FA" w:rsidRDefault="004604FA" w:rsidP="004C072F">
      <w:pPr>
        <w:spacing w:before="120" w:after="120" w:line="240" w:lineRule="auto"/>
        <w:contextualSpacing/>
        <w:jc w:val="both"/>
        <w:rPr>
          <w:rFonts w:ascii="Times New Roman" w:hAnsi="Times New Roman" w:cs="Times New Roman"/>
          <w:b/>
          <w:bCs/>
        </w:rPr>
      </w:pPr>
    </w:p>
    <w:p w14:paraId="0EC90853" w14:textId="440A4F0C"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b/>
          <w:bCs/>
        </w:rPr>
        <w:lastRenderedPageBreak/>
        <w:t>7. Noul cadru al UE pentru mobilitatea urbană</w:t>
      </w:r>
      <w:r w:rsidRPr="007D3D4F">
        <w:rPr>
          <w:rFonts w:ascii="Times New Roman" w:hAnsi="Times New Roman" w:cs="Times New Roman"/>
        </w:rPr>
        <w:t xml:space="preserve"> </w:t>
      </w:r>
    </w:p>
    <w:p w14:paraId="515101E3"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noProof/>
          <w:color w:val="000000" w:themeColor="text1"/>
          <w:lang w:eastAsia="ro-RO"/>
        </w:rPr>
        <mc:AlternateContent>
          <mc:Choice Requires="wps">
            <w:drawing>
              <wp:anchor distT="0" distB="0" distL="114300" distR="114300" simplePos="0" relativeHeight="251743232" behindDoc="0" locked="0" layoutInCell="1" allowOverlap="1" wp14:anchorId="1F54AE1F" wp14:editId="0EA8AC6A">
                <wp:simplePos x="0" y="0"/>
                <wp:positionH relativeFrom="column">
                  <wp:posOffset>0</wp:posOffset>
                </wp:positionH>
                <wp:positionV relativeFrom="paragraph">
                  <wp:posOffset>18415</wp:posOffset>
                </wp:positionV>
                <wp:extent cx="5943600" cy="0"/>
                <wp:effectExtent l="0" t="19050" r="19050" b="19050"/>
                <wp:wrapNone/>
                <wp:docPr id="2090549107"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48F6F" id="Straight Connector 30"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" strokecolor="#4472c4" strokeweight="3pt">
                <v:stroke joinstyle="miter"/>
              </v:line>
            </w:pict>
          </mc:Fallback>
        </mc:AlternateContent>
      </w:r>
    </w:p>
    <w:p w14:paraId="2BC241F9" w14:textId="77777777" w:rsidR="00AF66BB"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 xml:space="preserve">Noul cadru european pentru mobilitatea urbană stabilește orientări strategice pentru orașe în vederea reducerii emisiilor și îmbunătățirii mobilității. Accentul principal este pus pe elaborarea și implementarea </w:t>
      </w:r>
      <w:r w:rsidRPr="007D3D4F">
        <w:rPr>
          <w:rFonts w:ascii="Times New Roman" w:hAnsi="Times New Roman" w:cs="Times New Roman"/>
          <w:b/>
          <w:bCs/>
          <w:color w:val="000000" w:themeColor="text1"/>
        </w:rPr>
        <w:t>Planurilor de Mobilitate Urbană Durabilă (PMUD)</w:t>
      </w:r>
      <w:r w:rsidRPr="007D3D4F">
        <w:rPr>
          <w:rFonts w:ascii="Times New Roman" w:hAnsi="Times New Roman" w:cs="Times New Roman"/>
          <w:color w:val="000000" w:themeColor="text1"/>
        </w:rPr>
        <w:t xml:space="preserve"> și pe promovarea unor forme de transport curate și eficiente.</w:t>
      </w:r>
    </w:p>
    <w:p w14:paraId="3A2D4594" w14:textId="77777777" w:rsidR="00333AE8" w:rsidRPr="007D3D4F" w:rsidRDefault="00333AE8" w:rsidP="004C072F">
      <w:pPr>
        <w:spacing w:before="120" w:after="120" w:line="240" w:lineRule="auto"/>
        <w:contextualSpacing/>
        <w:jc w:val="both"/>
        <w:rPr>
          <w:rFonts w:ascii="Times New Roman" w:hAnsi="Times New Roman" w:cs="Times New Roman"/>
          <w:color w:val="000000" w:themeColor="text1"/>
        </w:rPr>
      </w:pPr>
    </w:p>
    <w:p w14:paraId="5669C57F"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Printre priorități se numără:</w:t>
      </w:r>
    </w:p>
    <w:p w14:paraId="32CA8363" w14:textId="77777777" w:rsidR="00AF66BB" w:rsidRPr="007D3D4F" w:rsidRDefault="00AF66BB" w:rsidP="00D81598">
      <w:pPr>
        <w:numPr>
          <w:ilvl w:val="0"/>
          <w:numId w:val="10"/>
        </w:num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Încurajarea transportului public, mersului pe jos și ciclismului</w:t>
      </w:r>
      <w:r w:rsidRPr="007D3D4F">
        <w:rPr>
          <w:rFonts w:ascii="Times New Roman" w:hAnsi="Times New Roman" w:cs="Times New Roman"/>
          <w:color w:val="000000" w:themeColor="text1"/>
        </w:rPr>
        <w:t>, ca soluții esențiale pentru reducerea poluării și a congestiei;</w:t>
      </w:r>
    </w:p>
    <w:p w14:paraId="1E1F362C" w14:textId="77777777" w:rsidR="00AF66BB" w:rsidRPr="007D3D4F" w:rsidRDefault="00AF66BB" w:rsidP="00D81598">
      <w:pPr>
        <w:numPr>
          <w:ilvl w:val="0"/>
          <w:numId w:val="10"/>
        </w:num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Trecerea la flote urbane cu emisii zero</w:t>
      </w:r>
      <w:r w:rsidRPr="007D3D4F">
        <w:rPr>
          <w:rFonts w:ascii="Times New Roman" w:hAnsi="Times New Roman" w:cs="Times New Roman"/>
          <w:color w:val="000000" w:themeColor="text1"/>
        </w:rPr>
        <w:t>, inclusiv prin adoptarea vehiculelor electrice;</w:t>
      </w:r>
    </w:p>
    <w:p w14:paraId="2E6DFB38" w14:textId="77777777" w:rsidR="00AF66BB" w:rsidRPr="007D3D4F" w:rsidRDefault="00AF66BB" w:rsidP="00D81598">
      <w:pPr>
        <w:numPr>
          <w:ilvl w:val="0"/>
          <w:numId w:val="10"/>
        </w:num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Modernizarea nodurilor multimodale</w:t>
      </w:r>
      <w:r w:rsidRPr="007D3D4F">
        <w:rPr>
          <w:rFonts w:ascii="Times New Roman" w:hAnsi="Times New Roman" w:cs="Times New Roman"/>
          <w:color w:val="000000" w:themeColor="text1"/>
        </w:rPr>
        <w:t>, pentru a facilita transferul între moduri de transport și a susține o mobilitate integrată;</w:t>
      </w:r>
    </w:p>
    <w:p w14:paraId="4C4B66E3" w14:textId="77777777" w:rsidR="00AF66BB" w:rsidRPr="007D3D4F" w:rsidRDefault="00AF66BB" w:rsidP="00D81598">
      <w:pPr>
        <w:numPr>
          <w:ilvl w:val="0"/>
          <w:numId w:val="10"/>
        </w:num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Implementarea de soluții și servicii digitale inovatoare</w:t>
      </w:r>
      <w:r w:rsidRPr="007D3D4F">
        <w:rPr>
          <w:rFonts w:ascii="Times New Roman" w:hAnsi="Times New Roman" w:cs="Times New Roman"/>
          <w:color w:val="000000" w:themeColor="text1"/>
        </w:rPr>
        <w:t>, pentru a crește eficiența, accesibilitatea și atractivitatea transportului urban.</w:t>
      </w:r>
    </w:p>
    <w:p w14:paraId="03B7009D"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Acest cadru oferă orașelor un set clar de recomandări pentru dezvoltarea unui sistem de mobilitate mai sustenabil, mai inteligent și mai prietenos cu mediul</w:t>
      </w:r>
      <w:r w:rsidRPr="007D3D4F">
        <w:rPr>
          <w:rStyle w:val="Referinnotdesubsol"/>
          <w:rFonts w:ascii="Times New Roman" w:hAnsi="Times New Roman" w:cs="Times New Roman"/>
          <w:color w:val="000000" w:themeColor="text1"/>
        </w:rPr>
        <w:footnoteReference w:id="21"/>
      </w:r>
      <w:r w:rsidRPr="007D3D4F">
        <w:rPr>
          <w:rFonts w:ascii="Times New Roman" w:hAnsi="Times New Roman" w:cs="Times New Roman"/>
          <w:color w:val="000000" w:themeColor="text1"/>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4"/>
        <w:gridCol w:w="1896"/>
      </w:tblGrid>
      <w:tr w:rsidR="00AF66BB" w:rsidRPr="007D3D4F" w14:paraId="3B6FB013" w14:textId="77777777" w:rsidTr="00355431">
        <w:tc>
          <w:tcPr>
            <w:tcW w:w="8075" w:type="dxa"/>
            <w:tcBorders>
              <w:top w:val="single" w:sz="12" w:space="0" w:color="FFC000"/>
              <w:bottom w:val="single" w:sz="12" w:space="0" w:color="FFC000"/>
            </w:tcBorders>
          </w:tcPr>
          <w:p w14:paraId="1E9F3AF6" w14:textId="77777777" w:rsidR="00AF66BB" w:rsidRPr="007D3D4F" w:rsidRDefault="00AF66BB" w:rsidP="004C072F">
            <w:pPr>
              <w:spacing w:before="120" w:after="120"/>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Noul cadru al UE pentru mobilitatea urbană este relevant pentru strategia din Județul Tulcea deoarece oferă direcții clare pentru dezvoltarea unui sistem de mobilitate durabilă, promovează utilizarea transportului public și a mobilității active, sprijină tranziția către flote cu emisii zero și încurajează modernizarea infrastructurii și digitalizarea serviciilor de transport, contribuind astfel la reducerea emisiilor și creșterea calității vieții în mediul urban.</w:t>
            </w:r>
          </w:p>
        </w:tc>
        <w:tc>
          <w:tcPr>
            <w:tcW w:w="1275" w:type="dxa"/>
            <w:tcBorders>
              <w:top w:val="single" w:sz="12" w:space="0" w:color="FFC000"/>
              <w:bottom w:val="single" w:sz="12" w:space="0" w:color="FFC000"/>
            </w:tcBorders>
          </w:tcPr>
          <w:p w14:paraId="5DA5C47C" w14:textId="77777777" w:rsidR="00AF66BB" w:rsidRPr="007D3D4F" w:rsidRDefault="00AF66BB" w:rsidP="004C072F">
            <w:pPr>
              <w:spacing w:before="120" w:after="120"/>
              <w:contextualSpacing/>
              <w:jc w:val="both"/>
              <w:rPr>
                <w:rFonts w:ascii="Times New Roman" w:hAnsi="Times New Roman" w:cs="Times New Roman"/>
                <w:b/>
                <w:bCs/>
                <w:color w:val="000000" w:themeColor="text1"/>
              </w:rPr>
            </w:pPr>
            <w:r w:rsidRPr="007D3D4F">
              <w:rPr>
                <w:rFonts w:ascii="Times New Roman" w:hAnsi="Times New Roman" w:cs="Times New Roman"/>
                <w:noProof/>
                <w:lang w:eastAsia="ro-RO"/>
              </w:rPr>
              <w:drawing>
                <wp:inline distT="0" distB="0" distL="0" distR="0" wp14:anchorId="77EB071E" wp14:editId="0E7CF4F9">
                  <wp:extent cx="1066800" cy="1129113"/>
                  <wp:effectExtent l="0" t="0" r="0" b="0"/>
                  <wp:docPr id="105673825" name="Picture 33" descr="desen linie gradient rece de o săgeată de regie de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 linie gradient rece de o săgeată de regie de desene an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841" cy="1146091"/>
                          </a:xfrm>
                          <a:prstGeom prst="rect">
                            <a:avLst/>
                          </a:prstGeom>
                          <a:noFill/>
                          <a:ln>
                            <a:noFill/>
                          </a:ln>
                        </pic:spPr>
                      </pic:pic>
                    </a:graphicData>
                  </a:graphic>
                </wp:inline>
              </w:drawing>
            </w:r>
          </w:p>
        </w:tc>
      </w:tr>
    </w:tbl>
    <w:p w14:paraId="46C29960" w14:textId="77777777" w:rsidR="00AF66BB" w:rsidRPr="007D3D4F" w:rsidRDefault="00AF66BB" w:rsidP="004C072F">
      <w:pPr>
        <w:spacing w:before="120" w:after="120" w:line="240" w:lineRule="auto"/>
        <w:contextualSpacing/>
        <w:jc w:val="both"/>
        <w:rPr>
          <w:rFonts w:ascii="Times New Roman" w:hAnsi="Times New Roman" w:cs="Times New Roman"/>
          <w:noProof/>
        </w:rPr>
      </w:pPr>
      <w:r w:rsidRPr="007D3D4F">
        <w:rPr>
          <w:rFonts w:ascii="Times New Roman" w:hAnsi="Times New Roman" w:cs="Times New Roman"/>
          <w:b/>
          <w:bCs/>
          <w:noProof/>
          <w:color w:val="000000" w:themeColor="text1"/>
          <w:lang w:eastAsia="ro-RO"/>
        </w:rPr>
        <mc:AlternateContent>
          <mc:Choice Requires="wps">
            <w:drawing>
              <wp:anchor distT="0" distB="0" distL="114300" distR="114300" simplePos="0" relativeHeight="251744256" behindDoc="0" locked="0" layoutInCell="1" allowOverlap="1" wp14:anchorId="6ACEBDA9" wp14:editId="184EE7FF">
                <wp:simplePos x="0" y="0"/>
                <wp:positionH relativeFrom="column">
                  <wp:posOffset>0</wp:posOffset>
                </wp:positionH>
                <wp:positionV relativeFrom="paragraph">
                  <wp:posOffset>235585</wp:posOffset>
                </wp:positionV>
                <wp:extent cx="5943600" cy="0"/>
                <wp:effectExtent l="0" t="19050" r="19050" b="19050"/>
                <wp:wrapNone/>
                <wp:docPr id="2017223146" name="Straight Connector 30"/>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rgbClr val="4472C4"/>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B848DA" id="Straight Connector 3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0,18.55pt" to="46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" strokecolor="#4472c4" strokeweight="3pt">
                <v:stroke joinstyle="miter"/>
              </v:line>
            </w:pict>
          </mc:Fallback>
        </mc:AlternateContent>
      </w:r>
      <w:r w:rsidRPr="007D3D4F">
        <w:rPr>
          <w:rFonts w:ascii="Times New Roman" w:hAnsi="Times New Roman" w:cs="Times New Roman"/>
          <w:b/>
          <w:bCs/>
          <w:color w:val="000000" w:themeColor="text1"/>
        </w:rPr>
        <w:t>8. Fit for 55</w:t>
      </w:r>
      <w:r w:rsidRPr="007D3D4F">
        <w:rPr>
          <w:rFonts w:ascii="Times New Roman" w:hAnsi="Times New Roman" w:cs="Times New Roman"/>
          <w:color w:val="000000" w:themeColor="text1"/>
        </w:rPr>
        <w:t xml:space="preserve"> </w:t>
      </w:r>
    </w:p>
    <w:p w14:paraId="3282D4DD"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p>
    <w:p w14:paraId="602CE5B8"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Inițiativa „Fit for 55” este un pachet legislativ al Uniunii Europene, lansat în iulie 2021, care vizează reducerea emisiilor nete de gaze cu efect de seră cu cel puțin 55% până în 2030, comparativ cu nivelurile din 1990. Aceasta face parte din eforturile UE de a atinge neutralitatea climatică până în 2050. Pachetul include o serie de măsuri care afectează diverse sectoare, inclusiv transportul, energia și fiscalitatea.</w:t>
      </w:r>
    </w:p>
    <w:p w14:paraId="3575AFF7"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t>Pentru sectorul transporturilor, „Fit for 55” propune:</w:t>
      </w:r>
    </w:p>
    <w:p w14:paraId="7EEC74B0" w14:textId="77777777" w:rsidR="00AF66BB" w:rsidRPr="007D3D4F" w:rsidRDefault="00AF66BB" w:rsidP="00D81598">
      <w:pPr>
        <w:numPr>
          <w:ilvl w:val="0"/>
          <w:numId w:val="11"/>
        </w:num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Extinderea sistemului de comercializare a certificatelor de emisii (EU ETS)</w:t>
      </w:r>
      <w:r w:rsidRPr="007D3D4F">
        <w:rPr>
          <w:rFonts w:ascii="Times New Roman" w:hAnsi="Times New Roman" w:cs="Times New Roman"/>
          <w:color w:val="000000" w:themeColor="text1"/>
        </w:rPr>
        <w:t xml:space="preserve"> pentru a include emisiile din transportul maritim și pentru a crea un sistem separat pentru transportul rutier și clădiri. </w:t>
      </w:r>
    </w:p>
    <w:p w14:paraId="50457B99" w14:textId="77777777" w:rsidR="00AF66BB" w:rsidRPr="007D3D4F" w:rsidRDefault="00AF66BB" w:rsidP="00D81598">
      <w:pPr>
        <w:numPr>
          <w:ilvl w:val="0"/>
          <w:numId w:val="11"/>
        </w:num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Regulamentul privind infrastructura pentru combustibili alternativi (AFIR)</w:t>
      </w:r>
      <w:r w:rsidRPr="007D3D4F">
        <w:rPr>
          <w:rFonts w:ascii="Times New Roman" w:hAnsi="Times New Roman" w:cs="Times New Roman"/>
          <w:color w:val="000000" w:themeColor="text1"/>
        </w:rPr>
        <w:t xml:space="preserve"> care stabilește obiective pentru dezvoltarea rețelelor de alimentare cu combustibili ecologici, în funcție de mărimea parcului auto electric din fiecare stat membru. </w:t>
      </w:r>
    </w:p>
    <w:p w14:paraId="14A37992" w14:textId="77777777" w:rsidR="00AF66BB" w:rsidRPr="007D3D4F" w:rsidRDefault="00AF66BB" w:rsidP="00D81598">
      <w:pPr>
        <w:numPr>
          <w:ilvl w:val="0"/>
          <w:numId w:val="11"/>
        </w:num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Inițiativa ReFuelEU Aviation</w:t>
      </w:r>
      <w:r w:rsidRPr="007D3D4F">
        <w:rPr>
          <w:rFonts w:ascii="Times New Roman" w:hAnsi="Times New Roman" w:cs="Times New Roman"/>
          <w:color w:val="000000" w:themeColor="text1"/>
        </w:rPr>
        <w:t xml:space="preserve"> care obligă furnizorii de combustibil pentru aviație să asigure o cotă minimă de combustibili sustenabili, crescând treptat până la 70% în 2050. </w:t>
      </w:r>
    </w:p>
    <w:p w14:paraId="5E7B9979" w14:textId="77777777" w:rsidR="00AF66BB" w:rsidRPr="007D3D4F" w:rsidRDefault="00AF66BB" w:rsidP="00D81598">
      <w:pPr>
        <w:numPr>
          <w:ilvl w:val="0"/>
          <w:numId w:val="11"/>
        </w:num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b/>
          <w:bCs/>
          <w:color w:val="000000" w:themeColor="text1"/>
        </w:rPr>
        <w:t>Inițiativa FuelEU Maritime</w:t>
      </w:r>
      <w:r w:rsidRPr="007D3D4F">
        <w:rPr>
          <w:rFonts w:ascii="Times New Roman" w:hAnsi="Times New Roman" w:cs="Times New Roman"/>
          <w:color w:val="000000" w:themeColor="text1"/>
        </w:rPr>
        <w:t xml:space="preserve"> care vizează reducerea intensității emisiilor de gaze cu efect de seră în transportul maritim și promovarea utilizării combustibililor alternativi</w:t>
      </w:r>
      <w:r w:rsidRPr="007D3D4F">
        <w:rPr>
          <w:rStyle w:val="Referinnotdesubsol"/>
          <w:rFonts w:ascii="Times New Roman" w:hAnsi="Times New Roman" w:cs="Times New Roman"/>
          <w:color w:val="000000" w:themeColor="text1"/>
        </w:rPr>
        <w:footnoteReference w:id="22"/>
      </w:r>
      <w:r w:rsidRPr="007D3D4F">
        <w:rPr>
          <w:rFonts w:ascii="Times New Roman" w:hAnsi="Times New Roman" w:cs="Times New Roman"/>
          <w:color w:val="000000" w:themeColor="text1"/>
        </w:rPr>
        <w:t xml:space="preserve">. </w:t>
      </w:r>
    </w:p>
    <w:p w14:paraId="46BBA314" w14:textId="77777777" w:rsidR="00AF66BB" w:rsidRPr="007D3D4F" w:rsidRDefault="00AF66BB" w:rsidP="004C072F">
      <w:pPr>
        <w:spacing w:before="120" w:after="120" w:line="240" w:lineRule="auto"/>
        <w:contextualSpacing/>
        <w:jc w:val="both"/>
        <w:rPr>
          <w:rFonts w:ascii="Times New Roman" w:hAnsi="Times New Roman" w:cs="Times New Roman"/>
          <w:color w:val="000000" w:themeColor="text1"/>
        </w:rPr>
      </w:pPr>
      <w:r w:rsidRPr="007D3D4F">
        <w:rPr>
          <w:rFonts w:ascii="Times New Roman" w:hAnsi="Times New Roman" w:cs="Times New Roman"/>
          <w:color w:val="000000" w:themeColor="text1"/>
        </w:rPr>
        <w:lastRenderedPageBreak/>
        <w:t>Aceste măsuri sunt menite să sprijine tranziția către un sistem de transport mai durabil și să contribuie la atingerea obiectivelor climatice ale UE.</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4"/>
        <w:gridCol w:w="1896"/>
      </w:tblGrid>
      <w:tr w:rsidR="00AF66BB" w:rsidRPr="007D3D4F" w14:paraId="4DD6E10F" w14:textId="77777777" w:rsidTr="00355431">
        <w:tc>
          <w:tcPr>
            <w:tcW w:w="8075" w:type="dxa"/>
            <w:tcBorders>
              <w:top w:val="single" w:sz="12" w:space="0" w:color="FFC000"/>
              <w:bottom w:val="single" w:sz="12" w:space="0" w:color="FFC000"/>
            </w:tcBorders>
          </w:tcPr>
          <w:p w14:paraId="276C143A" w14:textId="77777777" w:rsidR="00AF66BB" w:rsidRPr="007D3D4F" w:rsidRDefault="00AF66BB" w:rsidP="004C072F">
            <w:pPr>
              <w:spacing w:before="120" w:after="120"/>
              <w:contextualSpacing/>
              <w:jc w:val="both"/>
              <w:rPr>
                <w:rFonts w:ascii="Times New Roman" w:hAnsi="Times New Roman" w:cs="Times New Roman"/>
                <w:b/>
                <w:bCs/>
                <w:i/>
                <w:iCs/>
                <w:color w:val="000000" w:themeColor="text1"/>
              </w:rPr>
            </w:pPr>
            <w:r w:rsidRPr="007D3D4F">
              <w:rPr>
                <w:rFonts w:ascii="Times New Roman" w:hAnsi="Times New Roman" w:cs="Times New Roman"/>
                <w:b/>
                <w:bCs/>
                <w:i/>
                <w:iCs/>
                <w:color w:val="000000" w:themeColor="text1"/>
              </w:rPr>
              <w:t>Inițiativa „Fit for 55” este relevantă pentru prezenta strategie deoarece oferă un cadru clar pentru tranziția către un sistem de transport cu emisii reduse, sprijină dezvoltarea infrastructurii pentru combustibili alternativi, impune standarde mai stricte privind emisiile, încurajează electrificarea flotelor și promovează soluții durabile pentru transport rutier, naval și aerian, toate aliniindu-se obiectivelor de decarbonizare, digitalizare și eficiență energetică asumate la nivel european.</w:t>
            </w:r>
          </w:p>
        </w:tc>
        <w:tc>
          <w:tcPr>
            <w:tcW w:w="1275" w:type="dxa"/>
            <w:tcBorders>
              <w:top w:val="single" w:sz="12" w:space="0" w:color="FFC000"/>
              <w:bottom w:val="single" w:sz="12" w:space="0" w:color="FFC000"/>
            </w:tcBorders>
          </w:tcPr>
          <w:p w14:paraId="7850C65D" w14:textId="77777777" w:rsidR="00AF66BB" w:rsidRPr="007D3D4F" w:rsidRDefault="00AF66BB" w:rsidP="004C072F">
            <w:pPr>
              <w:spacing w:before="120" w:after="120"/>
              <w:contextualSpacing/>
              <w:jc w:val="both"/>
              <w:rPr>
                <w:rFonts w:ascii="Times New Roman" w:hAnsi="Times New Roman" w:cs="Times New Roman"/>
                <w:b/>
                <w:bCs/>
                <w:color w:val="000000" w:themeColor="text1"/>
              </w:rPr>
            </w:pPr>
            <w:r w:rsidRPr="007D3D4F">
              <w:rPr>
                <w:rFonts w:ascii="Times New Roman" w:hAnsi="Times New Roman" w:cs="Times New Roman"/>
                <w:noProof/>
                <w:lang w:eastAsia="ro-RO"/>
              </w:rPr>
              <w:drawing>
                <wp:inline distT="0" distB="0" distL="0" distR="0" wp14:anchorId="2626CED2" wp14:editId="39D91612">
                  <wp:extent cx="1066800" cy="1129113"/>
                  <wp:effectExtent l="0" t="0" r="0" b="0"/>
                  <wp:docPr id="871024977" name="Picture 33" descr="desen linie gradient rece de o săgeată de regie de desene an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 linie gradient rece de o săgeată de regie de desene anima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841" cy="1146091"/>
                          </a:xfrm>
                          <a:prstGeom prst="rect">
                            <a:avLst/>
                          </a:prstGeom>
                          <a:noFill/>
                          <a:ln>
                            <a:noFill/>
                          </a:ln>
                        </pic:spPr>
                      </pic:pic>
                    </a:graphicData>
                  </a:graphic>
                </wp:inline>
              </w:drawing>
            </w:r>
          </w:p>
        </w:tc>
      </w:tr>
    </w:tbl>
    <w:p w14:paraId="5ABAA71A" w14:textId="09856A16" w:rsidR="004C072F" w:rsidRPr="007D3D4F" w:rsidRDefault="00AF66BB" w:rsidP="001012BD">
      <w:pPr>
        <w:pStyle w:val="Titlu2"/>
        <w:spacing w:before="120" w:after="120" w:line="240" w:lineRule="auto"/>
        <w:contextualSpacing/>
        <w:jc w:val="both"/>
        <w:rPr>
          <w:rFonts w:ascii="Times New Roman" w:hAnsi="Times New Roman" w:cs="Times New Roman"/>
          <w:b/>
          <w:bCs/>
          <w:color w:val="auto"/>
          <w:sz w:val="22"/>
          <w:szCs w:val="22"/>
        </w:rPr>
      </w:pPr>
      <w:bookmarkStart w:id="7" w:name="_Toc201653607"/>
      <w:r w:rsidRPr="007D3D4F">
        <w:rPr>
          <w:rFonts w:ascii="Times New Roman" w:hAnsi="Times New Roman" w:cs="Times New Roman"/>
          <w:b/>
          <w:bCs/>
          <w:color w:val="auto"/>
          <w:sz w:val="22"/>
          <w:szCs w:val="22"/>
        </w:rPr>
        <w:t>2.3. Proiecte relevante derulate la nivel național și local în transporturi (2007–prezent)</w:t>
      </w:r>
      <w:bookmarkEnd w:id="7"/>
    </w:p>
    <w:p w14:paraId="6FA3FB64" w14:textId="4BA44A59" w:rsidR="00AF66BB" w:rsidRPr="007D3D4F" w:rsidRDefault="00AF66BB" w:rsidP="004C072F">
      <w:pPr>
        <w:pStyle w:val="Listparagraf"/>
        <w:shd w:val="clear" w:color="auto" w:fill="4472C4"/>
        <w:spacing w:before="120" w:after="120" w:line="240" w:lineRule="auto"/>
        <w:ind w:left="0"/>
        <w:jc w:val="both"/>
        <w:rPr>
          <w:rFonts w:ascii="Times New Roman" w:hAnsi="Times New Roman" w:cs="Times New Roman"/>
          <w:b/>
          <w:bCs/>
          <w:color w:val="FFFFFF" w:themeColor="background1"/>
        </w:rPr>
      </w:pPr>
      <w:r w:rsidRPr="007D3D4F">
        <w:rPr>
          <w:rFonts w:ascii="Times New Roman" w:hAnsi="Times New Roman" w:cs="Times New Roman"/>
          <w:b/>
          <w:bCs/>
          <w:color w:val="FFFFFF" w:themeColor="background1"/>
        </w:rPr>
        <w:t>Proiecte finanțate în perioada de programare 2007-2013</w:t>
      </w:r>
    </w:p>
    <w:p w14:paraId="00F00C4A"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Pentru perioada de programare 2007–2013, la nivelul județului Tulcea au fost identificate 19 proiecte cu impact direct asupra infrastructurii și serviciilor de transport. Valoarea totală a investițiilor realizate depășește 150 milioane lei.</w:t>
      </w:r>
    </w:p>
    <w:tbl>
      <w:tblPr>
        <w:tblStyle w:val="Tabelgril"/>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791"/>
        <w:gridCol w:w="4559"/>
      </w:tblGrid>
      <w:tr w:rsidR="00AF66BB" w:rsidRPr="007D3D4F" w14:paraId="3B368FFC" w14:textId="77777777" w:rsidTr="00355431">
        <w:trPr>
          <w:trHeight w:val="4751"/>
        </w:trPr>
        <w:tc>
          <w:tcPr>
            <w:tcW w:w="5029" w:type="dxa"/>
          </w:tcPr>
          <w:p w14:paraId="14142829"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noProof/>
                <w:sz w:val="22"/>
                <w:szCs w:val="22"/>
                <w:lang w:eastAsia="ro-RO"/>
              </w:rPr>
              <w:drawing>
                <wp:inline distT="0" distB="0" distL="0" distR="0" wp14:anchorId="58308AD4" wp14:editId="594ABC22">
                  <wp:extent cx="3056255" cy="2921000"/>
                  <wp:effectExtent l="38100" t="0" r="0" b="0"/>
                  <wp:docPr id="191502143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91ABAB-2092-9E7E-384B-EED498AE2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321" w:type="dxa"/>
          </w:tcPr>
          <w:p w14:paraId="645565FD" w14:textId="77777777" w:rsidR="00AF66BB" w:rsidRPr="007D3D4F" w:rsidRDefault="00AF66BB" w:rsidP="004C072F">
            <w:pPr>
              <w:pStyle w:val="Smn"/>
              <w:contextualSpacing/>
              <w:rPr>
                <w:rFonts w:ascii="Times New Roman" w:hAnsi="Times New Roman" w:cs="Times New Roman"/>
                <w:b/>
                <w:bCs/>
                <w:sz w:val="22"/>
                <w:szCs w:val="22"/>
              </w:rPr>
            </w:pPr>
            <w:r w:rsidRPr="007D3D4F">
              <w:rPr>
                <w:rFonts w:ascii="Times New Roman" w:hAnsi="Times New Roman" w:cs="Times New Roman"/>
                <w:b/>
                <w:bCs/>
                <w:noProof/>
                <w:sz w:val="22"/>
                <w:szCs w:val="22"/>
                <w:lang w:eastAsia="ro-RO"/>
              </w:rPr>
              <w:drawing>
                <wp:inline distT="0" distB="0" distL="0" distR="0" wp14:anchorId="23204B61" wp14:editId="28F898B7">
                  <wp:extent cx="2937510" cy="3039533"/>
                  <wp:effectExtent l="0" t="0" r="0" b="8890"/>
                  <wp:docPr id="39765446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75A385-23F3-7336-2D74-6EB622BD7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373E9C73" w14:textId="04B83C73"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Figura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Figura_nr._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Sursele de finanțare a  proiectelor implementate în județul Tulcea în perioada 2007-2013</w:t>
      </w:r>
    </w:p>
    <w:p w14:paraId="7804C2D0"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69B29A00"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Din perspectiva sursei de finanțare (conform figurii de mai sus), cea mai mare parte a proiectelor (71,43% - 5 proiecte) a fost implementată prin intermediul Programului Operațional Regional 2007–2013. De asemenea, 1 proiect (14,29%) a beneficiat de sprijin prin Compania Națională de Investiții (CNI) și un alt proiect (14,29%) prin Programul Operațional Sectorial Transport 2007–2013.</w:t>
      </w:r>
    </w:p>
    <w:p w14:paraId="03CAD655"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Referitor la bugetul alocat proiectelor de transport în județul Tulcea în perioada 2007–2013, distribuția fondurilor evidențiază o concentrare a finanțărilor din surse europene și naționale astfel: 71,44% din fonduri au provenit din Programul Operațional Regional 2007–2013, 28,21% din Programul Operațional Sectorial Transport 2007–2013, 0,35% din alocări gestionate de Compania Națională de Investiții (CNI).</w:t>
      </w:r>
    </w:p>
    <w:p w14:paraId="178D36AD" w14:textId="77777777" w:rsidR="00AF66BB" w:rsidRPr="007D3D4F" w:rsidRDefault="00AF66BB" w:rsidP="004C072F">
      <w:pPr>
        <w:pStyle w:val="Smn"/>
        <w:contextualSpacing/>
        <w:rPr>
          <w:rFonts w:ascii="Times New Roman" w:hAnsi="Times New Roman" w:cs="Times New Roman"/>
          <w:color w:val="auto"/>
          <w:sz w:val="22"/>
          <w:szCs w:val="22"/>
        </w:rPr>
      </w:pPr>
      <w:r w:rsidRPr="007D3D4F">
        <w:rPr>
          <w:rFonts w:ascii="Times New Roman" w:hAnsi="Times New Roman" w:cs="Times New Roman"/>
          <w:color w:val="auto"/>
          <w:sz w:val="22"/>
          <w:szCs w:val="22"/>
        </w:rPr>
        <w:lastRenderedPageBreak/>
        <w:t>În continuare sunt prezentate, pe scurt, proiectele derulate în perioada 2007–2013 cu impact asupra transporturilor în județul Tulcea.</w:t>
      </w:r>
    </w:p>
    <w:p w14:paraId="1F773C61" w14:textId="4533E14A"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xml:space="preserve">:  Proiecte implementate în perioada 2007-2013 în județul Tulcea prin Programul Operațional Regional 2007-2013 </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4193"/>
        <w:gridCol w:w="1574"/>
        <w:gridCol w:w="1766"/>
        <w:gridCol w:w="1811"/>
      </w:tblGrid>
      <w:tr w:rsidR="00AF66BB" w:rsidRPr="007D3D4F" w14:paraId="25929005" w14:textId="77777777" w:rsidTr="004604FA">
        <w:trPr>
          <w:jc w:val="center"/>
        </w:trPr>
        <w:tc>
          <w:tcPr>
            <w:tcW w:w="2244" w:type="pct"/>
            <w:shd w:val="clear" w:color="auto" w:fill="3B3838" w:themeFill="background2" w:themeFillShade="40"/>
            <w:vAlign w:val="center"/>
          </w:tcPr>
          <w:p w14:paraId="3C540B3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842" w:type="pct"/>
            <w:shd w:val="clear" w:color="auto" w:fill="3B3838" w:themeFill="background2" w:themeFillShade="40"/>
            <w:vAlign w:val="center"/>
          </w:tcPr>
          <w:p w14:paraId="7F3E01E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Localizare</w:t>
            </w:r>
          </w:p>
        </w:tc>
        <w:tc>
          <w:tcPr>
            <w:tcW w:w="945" w:type="pct"/>
            <w:shd w:val="clear" w:color="auto" w:fill="3B3838" w:themeFill="background2" w:themeFillShade="40"/>
            <w:vAlign w:val="center"/>
          </w:tcPr>
          <w:p w14:paraId="08DB25F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69" w:type="pct"/>
            <w:shd w:val="clear" w:color="auto" w:fill="3B3838" w:themeFill="background2" w:themeFillShade="40"/>
            <w:vAlign w:val="center"/>
          </w:tcPr>
          <w:p w14:paraId="5A4BB60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49619253" w14:textId="77777777" w:rsidTr="004604FA">
        <w:trPr>
          <w:jc w:val="center"/>
        </w:trPr>
        <w:tc>
          <w:tcPr>
            <w:tcW w:w="2244" w:type="pct"/>
            <w:shd w:val="clear" w:color="auto" w:fill="E7E6E6" w:themeFill="background2"/>
            <w:vAlign w:val="center"/>
          </w:tcPr>
          <w:p w14:paraId="02ABDE1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Modernizarea spatiilor publice urbane: străzile Victoriei, I.H. Rădulescu, M. Bravu, G. Coșbuc, G. Vernescu; trotuare, scuaruri, zone pietonale și parcări aferente străzilor din zona blocurilor A1, A2, A4, 13, 14, 15</w:t>
            </w:r>
          </w:p>
        </w:tc>
        <w:tc>
          <w:tcPr>
            <w:tcW w:w="842" w:type="pct"/>
            <w:shd w:val="clear" w:color="auto" w:fill="E7E6E6" w:themeFill="background2"/>
            <w:vAlign w:val="center"/>
          </w:tcPr>
          <w:p w14:paraId="1674F79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UAT Măcin</w:t>
            </w:r>
          </w:p>
        </w:tc>
        <w:tc>
          <w:tcPr>
            <w:tcW w:w="945" w:type="pct"/>
            <w:shd w:val="clear" w:color="auto" w:fill="E7E6E6" w:themeFill="background2"/>
            <w:vAlign w:val="center"/>
          </w:tcPr>
          <w:p w14:paraId="204C569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69" w:type="pct"/>
            <w:shd w:val="clear" w:color="auto" w:fill="E7E6E6" w:themeFill="background2"/>
            <w:vAlign w:val="center"/>
          </w:tcPr>
          <w:p w14:paraId="2BA3E3A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6.066.302</w:t>
            </w:r>
          </w:p>
        </w:tc>
      </w:tr>
      <w:tr w:rsidR="00AF66BB" w:rsidRPr="007D3D4F" w14:paraId="66996D30" w14:textId="77777777" w:rsidTr="004604FA">
        <w:trPr>
          <w:jc w:val="center"/>
        </w:trPr>
        <w:tc>
          <w:tcPr>
            <w:tcW w:w="2244" w:type="pct"/>
            <w:shd w:val="clear" w:color="auto" w:fill="E7E6E6" w:themeFill="background2"/>
            <w:vAlign w:val="center"/>
          </w:tcPr>
          <w:p w14:paraId="3F37626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Modernizarea infrastructurii de transport către zona turistică Murighiol-Uzlina-Dunavăț-lacul Razim</w:t>
            </w:r>
          </w:p>
        </w:tc>
        <w:tc>
          <w:tcPr>
            <w:tcW w:w="842" w:type="pct"/>
            <w:shd w:val="clear" w:color="auto" w:fill="E7E6E6" w:themeFill="background2"/>
            <w:vAlign w:val="center"/>
          </w:tcPr>
          <w:p w14:paraId="4AC5F01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Tulcea</w:t>
            </w:r>
          </w:p>
          <w:p w14:paraId="2699705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Beștepe Mahmudia Nufăru Murighiol</w:t>
            </w:r>
          </w:p>
        </w:tc>
        <w:tc>
          <w:tcPr>
            <w:tcW w:w="945" w:type="pct"/>
            <w:shd w:val="clear" w:color="auto" w:fill="E7E6E6" w:themeFill="background2"/>
            <w:vAlign w:val="center"/>
          </w:tcPr>
          <w:p w14:paraId="6776767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69" w:type="pct"/>
            <w:shd w:val="clear" w:color="auto" w:fill="E7E6E6" w:themeFill="background2"/>
            <w:vAlign w:val="center"/>
          </w:tcPr>
          <w:p w14:paraId="46AC99E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80.850.726,42</w:t>
            </w:r>
          </w:p>
        </w:tc>
      </w:tr>
      <w:tr w:rsidR="00AF66BB" w:rsidRPr="007D3D4F" w14:paraId="26619933" w14:textId="77777777" w:rsidTr="004604FA">
        <w:trPr>
          <w:jc w:val="center"/>
        </w:trPr>
        <w:tc>
          <w:tcPr>
            <w:tcW w:w="2244" w:type="pct"/>
            <w:shd w:val="clear" w:color="auto" w:fill="E7E6E6" w:themeFill="background2"/>
            <w:vAlign w:val="center"/>
          </w:tcPr>
          <w:p w14:paraId="26FEB9B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Reabilitarea și modernizarea zonei industriale est din municipiul Tulcea</w:t>
            </w:r>
          </w:p>
        </w:tc>
        <w:tc>
          <w:tcPr>
            <w:tcW w:w="842" w:type="pct"/>
            <w:shd w:val="clear" w:color="auto" w:fill="E7E6E6" w:themeFill="background2"/>
            <w:vAlign w:val="center"/>
          </w:tcPr>
          <w:p w14:paraId="1527247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Tulcea</w:t>
            </w:r>
          </w:p>
        </w:tc>
        <w:tc>
          <w:tcPr>
            <w:tcW w:w="945" w:type="pct"/>
            <w:shd w:val="clear" w:color="auto" w:fill="E7E6E6" w:themeFill="background2"/>
            <w:vAlign w:val="center"/>
          </w:tcPr>
          <w:p w14:paraId="19AF405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69" w:type="pct"/>
            <w:shd w:val="clear" w:color="auto" w:fill="E7E6E6" w:themeFill="background2"/>
            <w:vAlign w:val="center"/>
          </w:tcPr>
          <w:p w14:paraId="734482F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33.530.184,13</w:t>
            </w:r>
          </w:p>
        </w:tc>
      </w:tr>
      <w:tr w:rsidR="00AF66BB" w:rsidRPr="007D3D4F" w14:paraId="137AFAD5" w14:textId="77777777" w:rsidTr="004604FA">
        <w:trPr>
          <w:jc w:val="center"/>
        </w:trPr>
        <w:tc>
          <w:tcPr>
            <w:tcW w:w="2244" w:type="pct"/>
            <w:shd w:val="clear" w:color="auto" w:fill="E7E6E6" w:themeFill="background2"/>
            <w:vAlign w:val="center"/>
          </w:tcPr>
          <w:p w14:paraId="093EEE0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Valorificarea turistică a mănăstirilor tulcene prin îmbunătățirea infrastructurii de acces și de mediu</w:t>
            </w:r>
          </w:p>
        </w:tc>
        <w:tc>
          <w:tcPr>
            <w:tcW w:w="842" w:type="pct"/>
            <w:shd w:val="clear" w:color="auto" w:fill="E7E6E6" w:themeFill="background2"/>
            <w:vAlign w:val="center"/>
          </w:tcPr>
          <w:p w14:paraId="4E3F4F3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Tulcea Niculițel Frecăței</w:t>
            </w:r>
          </w:p>
        </w:tc>
        <w:tc>
          <w:tcPr>
            <w:tcW w:w="945" w:type="pct"/>
            <w:shd w:val="clear" w:color="auto" w:fill="E7E6E6" w:themeFill="background2"/>
            <w:vAlign w:val="center"/>
          </w:tcPr>
          <w:p w14:paraId="6DCF2A2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69" w:type="pct"/>
            <w:shd w:val="clear" w:color="auto" w:fill="E7E6E6" w:themeFill="background2"/>
            <w:vAlign w:val="center"/>
          </w:tcPr>
          <w:p w14:paraId="3F90077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43.946.215,42</w:t>
            </w:r>
          </w:p>
        </w:tc>
      </w:tr>
      <w:tr w:rsidR="00AF66BB" w:rsidRPr="007D3D4F" w14:paraId="2C73C486" w14:textId="77777777" w:rsidTr="004604FA">
        <w:trPr>
          <w:jc w:val="center"/>
        </w:trPr>
        <w:tc>
          <w:tcPr>
            <w:tcW w:w="2244" w:type="pct"/>
            <w:shd w:val="clear" w:color="auto" w:fill="E7E6E6" w:themeFill="background2"/>
            <w:vAlign w:val="center"/>
          </w:tcPr>
          <w:p w14:paraId="6FF5835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Îmbunătățirea serviciilor urbane, infrastructura publică urbană, zona urbană vest municipiul Tulcea</w:t>
            </w:r>
          </w:p>
        </w:tc>
        <w:tc>
          <w:tcPr>
            <w:tcW w:w="842" w:type="pct"/>
            <w:shd w:val="clear" w:color="auto" w:fill="E7E6E6" w:themeFill="background2"/>
            <w:vAlign w:val="center"/>
          </w:tcPr>
          <w:p w14:paraId="38BD534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Tulcea</w:t>
            </w:r>
          </w:p>
        </w:tc>
        <w:tc>
          <w:tcPr>
            <w:tcW w:w="945" w:type="pct"/>
            <w:shd w:val="clear" w:color="auto" w:fill="E7E6E6" w:themeFill="background2"/>
            <w:vAlign w:val="center"/>
          </w:tcPr>
          <w:p w14:paraId="523102E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69" w:type="pct"/>
            <w:shd w:val="clear" w:color="auto" w:fill="E7E6E6" w:themeFill="background2"/>
            <w:vAlign w:val="center"/>
          </w:tcPr>
          <w:p w14:paraId="3D48C9D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29.566.557,85</w:t>
            </w:r>
          </w:p>
        </w:tc>
      </w:tr>
      <w:tr w:rsidR="00AF66BB" w:rsidRPr="007D3D4F" w14:paraId="7BEC1F5B" w14:textId="77777777" w:rsidTr="004604FA">
        <w:trPr>
          <w:trHeight w:val="79"/>
          <w:jc w:val="center"/>
        </w:trPr>
        <w:tc>
          <w:tcPr>
            <w:tcW w:w="4031" w:type="pct"/>
            <w:gridSpan w:val="3"/>
            <w:shd w:val="clear" w:color="auto" w:fill="767171" w:themeFill="background2" w:themeFillShade="80"/>
            <w:vAlign w:val="center"/>
          </w:tcPr>
          <w:p w14:paraId="704721D7" w14:textId="77777777" w:rsidR="00AF66BB" w:rsidRPr="004604FA" w:rsidRDefault="00AF66BB" w:rsidP="004C072F">
            <w:pPr>
              <w:spacing w:before="120" w:after="120"/>
              <w:contextualSpacing/>
              <w:jc w:val="center"/>
              <w:rPr>
                <w:rFonts w:ascii="Times New Roman" w:hAnsi="Times New Roman" w:cs="Times New Roman"/>
                <w:b/>
                <w:bCs/>
                <w:color w:val="FFFFFF" w:themeColor="background1"/>
                <w:sz w:val="20"/>
                <w:szCs w:val="20"/>
              </w:rPr>
            </w:pPr>
            <w:r w:rsidRPr="004604FA">
              <w:rPr>
                <w:rFonts w:ascii="Times New Roman" w:hAnsi="Times New Roman" w:cs="Times New Roman"/>
                <w:b/>
                <w:bCs/>
                <w:color w:val="FFFFFF" w:themeColor="background1"/>
                <w:sz w:val="20"/>
                <w:szCs w:val="20"/>
              </w:rPr>
              <w:t>Total</w:t>
            </w:r>
          </w:p>
        </w:tc>
        <w:tc>
          <w:tcPr>
            <w:tcW w:w="969" w:type="pct"/>
            <w:shd w:val="clear" w:color="auto" w:fill="767171" w:themeFill="background2" w:themeFillShade="80"/>
            <w:vAlign w:val="center"/>
          </w:tcPr>
          <w:p w14:paraId="73EA3B26" w14:textId="77777777" w:rsidR="00AF66BB" w:rsidRPr="004604FA" w:rsidRDefault="00AF66BB" w:rsidP="004C072F">
            <w:pPr>
              <w:spacing w:before="120" w:after="120"/>
              <w:contextualSpacing/>
              <w:jc w:val="center"/>
              <w:rPr>
                <w:rFonts w:ascii="Times New Roman" w:hAnsi="Times New Roman" w:cs="Times New Roman"/>
                <w:b/>
                <w:bCs/>
                <w:color w:val="FFFFFF" w:themeColor="background1"/>
                <w:sz w:val="20"/>
                <w:szCs w:val="20"/>
              </w:rPr>
            </w:pPr>
            <w:r w:rsidRPr="004604FA">
              <w:rPr>
                <w:rFonts w:ascii="Times New Roman" w:hAnsi="Times New Roman" w:cs="Times New Roman"/>
                <w:b/>
                <w:bCs/>
                <w:color w:val="FFFFFF" w:themeColor="background1"/>
                <w:sz w:val="20"/>
                <w:szCs w:val="20"/>
              </w:rPr>
              <w:t>164.393.428</w:t>
            </w:r>
          </w:p>
        </w:tc>
      </w:tr>
    </w:tbl>
    <w:p w14:paraId="2C7BDE52"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270CB7CC"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 xml:space="preserve">Datele din tabel arată că, în perioada 2007–2013, </w:t>
      </w:r>
      <w:r w:rsidRPr="007D3D4F">
        <w:rPr>
          <w:rFonts w:ascii="Times New Roman" w:eastAsiaTheme="majorEastAsia" w:hAnsi="Times New Roman" w:cs="Times New Roman"/>
          <w:b/>
          <w:bCs/>
          <w:color w:val="272727" w:themeColor="text1" w:themeTint="D8"/>
        </w:rPr>
        <w:t xml:space="preserve">Programul Operațional Regional </w:t>
      </w:r>
      <w:r w:rsidRPr="007D3D4F">
        <w:rPr>
          <w:rFonts w:ascii="Times New Roman" w:eastAsiaTheme="majorEastAsia" w:hAnsi="Times New Roman" w:cs="Times New Roman"/>
          <w:color w:val="272727" w:themeColor="text1" w:themeTint="D8"/>
        </w:rPr>
        <w:t>a finanțat o serie de proiecte semnificative pentru infrastructura rutieră din județul Tulcea, cu o valoare cumulată de peste 164 milioane lei.</w:t>
      </w:r>
    </w:p>
    <w:p w14:paraId="2DF3D5F1"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Cel mai mare proiect, în valoare de aproximativ 80,85 milioane lei, a vizat modernizarea infrastructurii de acces către zona turistică Murighiol–Uzlina–Dunavăț–lac Razim, cu impact direct asupra conectivității zonelor turistice din Delta Dunării. Alte investiții importante s-au concentrat în municipiul Tulcea, vizând atât modernizarea zonei industriale, cât și amenajarea de spații urbane și infrastructură rutieră în vestul orașului, ceea ce indică o direcție de dezvoltare urbană și industrială susținută. În orașul Măcin, proiectul de modernizare a spațiilor publice (trotuare, scuaruri, zone pietonale și parcări) a contribuit la îmbunătățirea condițiilor de mobilitate pietonală și a calității spațiului urban. Un proiect aparte este cel de la Niculițel, care a integrat valorificarea turistică a mănăstirilor cu intervenții asupra accesului rutier și protecției mediului, demonstrând o abordare integrată între patrimoniu, infrastructură și durabilitate.</w:t>
      </w:r>
    </w:p>
    <w:p w14:paraId="7E63474D"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Investițiile realizate în această perioadă au fost direcționate în principal spre modernizarea infrastructurii rutiere urbane și turistice, cu accent pe conectivitatea localităților și accesibilitatea zonelor cu potențial economic și turistic ridicat.</w:t>
      </w:r>
    </w:p>
    <w:p w14:paraId="41B3637D"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Se remarcă o alocare semnificativă a resurselor către municipiul Tulcea, ca pol urban și industrial, dar și către zona de sud a județului, respectiv comunele riverane Deltei Dunării, unde dezvoltarea infrastructurii rutiere a susținut în mod direct valorificarea resurselor naturale și culturale.</w:t>
      </w:r>
    </w:p>
    <w:p w14:paraId="19FC7879"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 xml:space="preserve">Conform tabelului de mai jos, în perioada 2007–2013 a fost finanțat, prin </w:t>
      </w:r>
      <w:r w:rsidRPr="007D3D4F">
        <w:rPr>
          <w:rFonts w:ascii="Times New Roman" w:eastAsiaTheme="majorEastAsia" w:hAnsi="Times New Roman" w:cs="Times New Roman"/>
          <w:b/>
          <w:bCs/>
          <w:color w:val="272727" w:themeColor="text1" w:themeTint="D8"/>
        </w:rPr>
        <w:t>Programul Operațional Sectorial Transport</w:t>
      </w:r>
      <w:r w:rsidRPr="007D3D4F">
        <w:rPr>
          <w:rFonts w:ascii="Times New Roman" w:eastAsiaTheme="majorEastAsia" w:hAnsi="Times New Roman" w:cs="Times New Roman"/>
          <w:color w:val="272727" w:themeColor="text1" w:themeTint="D8"/>
        </w:rPr>
        <w:t>, un proiect semnificativ ce a vizat modernizarea infrastructurii aeroportuare a Aeroportului Delta Dunării Tulcea.</w:t>
      </w:r>
    </w:p>
    <w:p w14:paraId="05A66711"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lastRenderedPageBreak/>
        <w:t>Proiectul a presupus extinderea pistei de aterizare/decolare și a platformei de îmbarcare/debarcare, contribuind la creșterea capacității operaționale a aeroportului și pregătind infrastructura pentru posibila dezvoltare a conexiunilor aeriene regionale.</w:t>
      </w:r>
    </w:p>
    <w:p w14:paraId="5BCCB7FD" w14:textId="0D5BBEE4"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perioada 2007-2013 în județul Tulcea prin Programului Operațional Sectorial Transport 2007-2013</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4193"/>
        <w:gridCol w:w="1574"/>
        <w:gridCol w:w="1766"/>
        <w:gridCol w:w="1811"/>
      </w:tblGrid>
      <w:tr w:rsidR="00AF66BB" w:rsidRPr="007D3D4F" w14:paraId="62C51AF4" w14:textId="77777777" w:rsidTr="004604FA">
        <w:trPr>
          <w:jc w:val="center"/>
        </w:trPr>
        <w:tc>
          <w:tcPr>
            <w:tcW w:w="2244" w:type="pct"/>
            <w:shd w:val="clear" w:color="auto" w:fill="3B3838" w:themeFill="background2" w:themeFillShade="40"/>
            <w:vAlign w:val="center"/>
          </w:tcPr>
          <w:p w14:paraId="57BB435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842" w:type="pct"/>
            <w:shd w:val="clear" w:color="auto" w:fill="3B3838" w:themeFill="background2" w:themeFillShade="40"/>
            <w:vAlign w:val="center"/>
          </w:tcPr>
          <w:p w14:paraId="4612758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Localizare</w:t>
            </w:r>
          </w:p>
        </w:tc>
        <w:tc>
          <w:tcPr>
            <w:tcW w:w="945" w:type="pct"/>
            <w:shd w:val="clear" w:color="auto" w:fill="3B3838" w:themeFill="background2" w:themeFillShade="40"/>
            <w:vAlign w:val="center"/>
          </w:tcPr>
          <w:p w14:paraId="4D33CCF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69" w:type="pct"/>
            <w:shd w:val="clear" w:color="auto" w:fill="3B3838" w:themeFill="background2" w:themeFillShade="40"/>
            <w:vAlign w:val="center"/>
          </w:tcPr>
          <w:p w14:paraId="574A91B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F6DB16D" w14:textId="77777777" w:rsidTr="004604FA">
        <w:trPr>
          <w:jc w:val="center"/>
        </w:trPr>
        <w:tc>
          <w:tcPr>
            <w:tcW w:w="2244" w:type="pct"/>
            <w:shd w:val="clear" w:color="auto" w:fill="E7E6E6" w:themeFill="background2"/>
            <w:vAlign w:val="center"/>
          </w:tcPr>
          <w:p w14:paraId="3EA7FE0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Modernizarea suprafețelor de mișcare, extinderea pistei și a platformei de îmbarcare debarcare pentru Aeroportul Delta Dunării Tulcea</w:t>
            </w:r>
          </w:p>
        </w:tc>
        <w:tc>
          <w:tcPr>
            <w:tcW w:w="842" w:type="pct"/>
            <w:shd w:val="clear" w:color="auto" w:fill="E7E6E6" w:themeFill="background2"/>
            <w:vAlign w:val="center"/>
          </w:tcPr>
          <w:p w14:paraId="4DC9F26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Tulcea</w:t>
            </w:r>
          </w:p>
        </w:tc>
        <w:tc>
          <w:tcPr>
            <w:tcW w:w="945" w:type="pct"/>
            <w:shd w:val="clear" w:color="auto" w:fill="E7E6E6" w:themeFill="background2"/>
            <w:vAlign w:val="center"/>
          </w:tcPr>
          <w:p w14:paraId="5765C77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aerian</w:t>
            </w:r>
          </w:p>
        </w:tc>
        <w:tc>
          <w:tcPr>
            <w:tcW w:w="969" w:type="pct"/>
            <w:shd w:val="clear" w:color="auto" w:fill="E7E6E6" w:themeFill="background2"/>
            <w:vAlign w:val="center"/>
          </w:tcPr>
          <w:p w14:paraId="76A1FCD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64.920.855,5</w:t>
            </w:r>
          </w:p>
        </w:tc>
      </w:tr>
    </w:tbl>
    <w:p w14:paraId="6E3C7D09"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2195A554"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Tabelul de mai jos prezintă un proiect implementat în perioada 2007-2013 prin Compania Națională de Investiții.</w:t>
      </w:r>
    </w:p>
    <w:p w14:paraId="04F44017" w14:textId="2D3AE3B1"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perioada 2007-2013 în județul Tulcea prin Programului Operațional Sectorial Transport 2007-2013</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4193"/>
        <w:gridCol w:w="1574"/>
        <w:gridCol w:w="1766"/>
        <w:gridCol w:w="1811"/>
      </w:tblGrid>
      <w:tr w:rsidR="00AF66BB" w:rsidRPr="007D3D4F" w14:paraId="2096DFCB" w14:textId="77777777" w:rsidTr="004604FA">
        <w:trPr>
          <w:jc w:val="center"/>
        </w:trPr>
        <w:tc>
          <w:tcPr>
            <w:tcW w:w="2244" w:type="pct"/>
            <w:shd w:val="clear" w:color="auto" w:fill="3B3838" w:themeFill="background2" w:themeFillShade="40"/>
            <w:vAlign w:val="center"/>
          </w:tcPr>
          <w:p w14:paraId="294B6B2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842" w:type="pct"/>
            <w:shd w:val="clear" w:color="auto" w:fill="3B3838" w:themeFill="background2" w:themeFillShade="40"/>
            <w:vAlign w:val="center"/>
          </w:tcPr>
          <w:p w14:paraId="4D5A84D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Localizare</w:t>
            </w:r>
          </w:p>
        </w:tc>
        <w:tc>
          <w:tcPr>
            <w:tcW w:w="945" w:type="pct"/>
            <w:shd w:val="clear" w:color="auto" w:fill="3B3838" w:themeFill="background2" w:themeFillShade="40"/>
            <w:vAlign w:val="center"/>
          </w:tcPr>
          <w:p w14:paraId="24A8205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69" w:type="pct"/>
            <w:shd w:val="clear" w:color="auto" w:fill="3B3838" w:themeFill="background2" w:themeFillShade="40"/>
            <w:vAlign w:val="center"/>
          </w:tcPr>
          <w:p w14:paraId="60EDDF2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B423B6F" w14:textId="77777777" w:rsidTr="004604FA">
        <w:trPr>
          <w:jc w:val="center"/>
        </w:trPr>
        <w:tc>
          <w:tcPr>
            <w:tcW w:w="2244" w:type="pct"/>
            <w:shd w:val="clear" w:color="auto" w:fill="E7E6E6" w:themeFill="background2"/>
            <w:vAlign w:val="center"/>
          </w:tcPr>
          <w:p w14:paraId="5714358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Realizare sector de drum experimental pe raza localității Beidaud</w:t>
            </w:r>
          </w:p>
        </w:tc>
        <w:tc>
          <w:tcPr>
            <w:tcW w:w="842" w:type="pct"/>
            <w:shd w:val="clear" w:color="auto" w:fill="E7E6E6" w:themeFill="background2"/>
            <w:vAlign w:val="center"/>
          </w:tcPr>
          <w:p w14:paraId="3D57550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Beidaud</w:t>
            </w:r>
          </w:p>
        </w:tc>
        <w:tc>
          <w:tcPr>
            <w:tcW w:w="945" w:type="pct"/>
            <w:shd w:val="clear" w:color="auto" w:fill="E7E6E6" w:themeFill="background2"/>
            <w:vAlign w:val="center"/>
          </w:tcPr>
          <w:p w14:paraId="5A65386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69" w:type="pct"/>
            <w:shd w:val="clear" w:color="auto" w:fill="E7E6E6" w:themeFill="background2"/>
            <w:vAlign w:val="center"/>
          </w:tcPr>
          <w:p w14:paraId="7832430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 xml:space="preserve">805.527,84 </w:t>
            </w:r>
          </w:p>
        </w:tc>
      </w:tr>
    </w:tbl>
    <w:p w14:paraId="76EEEDB5"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7223788"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Investiția realizată de Compania Națională de Investiții (CNI) în comuna Beidaud pentru realizarea unui sector de drum experimental este semnificativă prin caracterul său inovator și aplicativ, indicând interesul pentru testarea de soluții tehnice noi în infrastructura rutieră chiar și în zonele rurale, fiind o inițiativă care completează eforturile realizate.</w:t>
      </w:r>
    </w:p>
    <w:p w14:paraId="06B94323" w14:textId="77777777" w:rsidR="00AF66BB" w:rsidRPr="007D3D4F" w:rsidRDefault="00AF66BB" w:rsidP="004604FA">
      <w:pPr>
        <w:pStyle w:val="Listparagraf"/>
        <w:shd w:val="clear" w:color="auto" w:fill="767171" w:themeFill="background2" w:themeFillShade="80"/>
        <w:spacing w:before="120" w:after="120" w:line="240" w:lineRule="auto"/>
        <w:ind w:left="0"/>
        <w:jc w:val="both"/>
        <w:rPr>
          <w:rFonts w:ascii="Times New Roman" w:hAnsi="Times New Roman" w:cs="Times New Roman"/>
          <w:b/>
          <w:bCs/>
          <w:color w:val="FFFFFF" w:themeColor="background1"/>
        </w:rPr>
      </w:pPr>
      <w:r w:rsidRPr="007D3D4F">
        <w:rPr>
          <w:rFonts w:ascii="Times New Roman" w:hAnsi="Times New Roman" w:cs="Times New Roman"/>
          <w:b/>
          <w:bCs/>
          <w:color w:val="FFFFFF" w:themeColor="background1"/>
        </w:rPr>
        <w:t>Proiecte finanțate în perioada 2014-prezent</w:t>
      </w:r>
    </w:p>
    <w:p w14:paraId="0C514A51"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Începând cu anul 2014, infrastructura de transport din județul Tulcea a beneficiat de finanțare printr-o serie de programe operaționale și naționale, reflectând o diversificare a surselor de investiții. Printre cele mai importante se numără: Programul Operațional Infrastructură Mare (POIM) 2014–2020, Programul Operațional Regional (POR) 2014–2020, precum și Programul Național de Dezvoltare Locală (PNDL), etapele I și II.</w:t>
      </w:r>
    </w:p>
    <w:p w14:paraId="259CCC89" w14:textId="77777777" w:rsidR="00AF66BB" w:rsidRPr="007D3D4F" w:rsidRDefault="00AF66BB" w:rsidP="004C072F">
      <w:pPr>
        <w:shd w:val="clear" w:color="auto" w:fill="E7E6E6" w:themeFill="background2"/>
        <w:spacing w:before="120" w:after="120" w:line="240" w:lineRule="auto"/>
        <w:contextualSpacing/>
        <w:jc w:val="both"/>
        <w:rPr>
          <w:rFonts w:ascii="Times New Roman" w:hAnsi="Times New Roman" w:cs="Times New Roman"/>
          <w:b/>
          <w:bCs/>
        </w:rPr>
      </w:pPr>
      <w:r w:rsidRPr="007D3D4F">
        <w:rPr>
          <w:rFonts w:ascii="Times New Roman" w:hAnsi="Times New Roman" w:cs="Times New Roman"/>
          <w:b/>
          <w:bCs/>
        </w:rPr>
        <w:t>Programul Operațional Infrastructură Mare (POIM) 2014–2020</w:t>
      </w:r>
    </w:p>
    <w:p w14:paraId="0B5F65B6"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b/>
          <w:bCs/>
        </w:rPr>
        <w:t>Prin Programul Operațional Infrastructură Mare (POIM) 2014–2020</w:t>
      </w:r>
      <w:r w:rsidRPr="007D3D4F">
        <w:rPr>
          <w:rFonts w:ascii="Times New Roman" w:hAnsi="Times New Roman" w:cs="Times New Roman"/>
        </w:rPr>
        <w:t>, în județul Tulcea au fost încheiate 19 contracte de finanțare, cu o valoare totală de 4.394.302.083,03 lei.</w:t>
      </w:r>
    </w:p>
    <w:p w14:paraId="65CDA499"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Conform listei contractelor actualizate la data de 30 aprilie 2025, dintre acestea:</w:t>
      </w:r>
    </w:p>
    <w:p w14:paraId="1D30653D" w14:textId="77777777" w:rsidR="00AF66BB" w:rsidRPr="007D3D4F" w:rsidRDefault="00AF66BB" w:rsidP="00D81598">
      <w:pPr>
        <w:numPr>
          <w:ilvl w:val="0"/>
          <w:numId w:val="12"/>
        </w:numPr>
        <w:spacing w:before="120" w:after="120" w:line="240" w:lineRule="auto"/>
        <w:contextualSpacing/>
        <w:jc w:val="both"/>
        <w:rPr>
          <w:rFonts w:ascii="Times New Roman" w:hAnsi="Times New Roman" w:cs="Times New Roman"/>
        </w:rPr>
      </w:pPr>
      <w:r w:rsidRPr="007D3D4F">
        <w:rPr>
          <w:rFonts w:ascii="Times New Roman" w:hAnsi="Times New Roman" w:cs="Times New Roman"/>
        </w:rPr>
        <w:t>10 proiecte au fost finalizate;</w:t>
      </w:r>
    </w:p>
    <w:p w14:paraId="64A89EF6" w14:textId="77777777" w:rsidR="00AF66BB" w:rsidRPr="007D3D4F" w:rsidRDefault="00AF66BB" w:rsidP="00D81598">
      <w:pPr>
        <w:numPr>
          <w:ilvl w:val="0"/>
          <w:numId w:val="12"/>
        </w:numPr>
        <w:spacing w:before="120" w:after="120" w:line="240" w:lineRule="auto"/>
        <w:contextualSpacing/>
        <w:jc w:val="both"/>
        <w:rPr>
          <w:rFonts w:ascii="Times New Roman" w:hAnsi="Times New Roman" w:cs="Times New Roman"/>
        </w:rPr>
      </w:pPr>
      <w:r w:rsidRPr="007D3D4F">
        <w:rPr>
          <w:rFonts w:ascii="Times New Roman" w:hAnsi="Times New Roman" w:cs="Times New Roman"/>
        </w:rPr>
        <w:t>3 proiecte sunt în curs de implementare (nefinalizate);</w:t>
      </w:r>
    </w:p>
    <w:p w14:paraId="33E74059" w14:textId="77777777" w:rsidR="00AF66BB" w:rsidRPr="007D3D4F" w:rsidRDefault="00AF66BB" w:rsidP="00D81598">
      <w:pPr>
        <w:numPr>
          <w:ilvl w:val="0"/>
          <w:numId w:val="12"/>
        </w:numPr>
        <w:spacing w:before="120" w:after="120" w:line="240" w:lineRule="auto"/>
        <w:contextualSpacing/>
        <w:jc w:val="both"/>
        <w:rPr>
          <w:rFonts w:ascii="Times New Roman" w:hAnsi="Times New Roman" w:cs="Times New Roman"/>
        </w:rPr>
      </w:pPr>
      <w:r w:rsidRPr="007D3D4F">
        <w:rPr>
          <w:rFonts w:ascii="Times New Roman" w:hAnsi="Times New Roman" w:cs="Times New Roman"/>
        </w:rPr>
        <w:t>5 reprezintă proiecte nemajore etapizabile în PT;</w:t>
      </w:r>
    </w:p>
    <w:p w14:paraId="499C6F46" w14:textId="77777777" w:rsidR="00AF66BB" w:rsidRPr="007D3D4F" w:rsidRDefault="00AF66BB" w:rsidP="00D81598">
      <w:pPr>
        <w:numPr>
          <w:ilvl w:val="0"/>
          <w:numId w:val="12"/>
        </w:numPr>
        <w:spacing w:before="120" w:after="120" w:line="240" w:lineRule="auto"/>
        <w:contextualSpacing/>
        <w:jc w:val="both"/>
        <w:rPr>
          <w:rFonts w:ascii="Times New Roman" w:hAnsi="Times New Roman" w:cs="Times New Roman"/>
        </w:rPr>
      </w:pPr>
      <w:r w:rsidRPr="007D3D4F">
        <w:rPr>
          <w:rFonts w:ascii="Times New Roman" w:hAnsi="Times New Roman" w:cs="Times New Roman"/>
        </w:rPr>
        <w:t>1 proiect a fost reziliat, încetat cu acordul părților sau revocat.</w:t>
      </w:r>
    </w:p>
    <w:p w14:paraId="11659B36"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Tabelul de mai jos prezintă cele 10 proiecte finalizate, care însumează 502.636.934,35 lei. </w:t>
      </w:r>
    </w:p>
    <w:p w14:paraId="020024BD" w14:textId="3E9B4258"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6</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finalizate în județul Tulcea prin Programul Operațional Infrastructură Mare (POIM) 2014–2020</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937"/>
        <w:gridCol w:w="2336"/>
        <w:gridCol w:w="1514"/>
        <w:gridCol w:w="1557"/>
      </w:tblGrid>
      <w:tr w:rsidR="00AF66BB" w:rsidRPr="007D3D4F" w14:paraId="0617D660" w14:textId="77777777" w:rsidTr="004604FA">
        <w:trPr>
          <w:tblHeader/>
          <w:jc w:val="center"/>
        </w:trPr>
        <w:tc>
          <w:tcPr>
            <w:tcW w:w="2107" w:type="pct"/>
            <w:shd w:val="clear" w:color="auto" w:fill="3B3838" w:themeFill="background2" w:themeFillShade="40"/>
            <w:vAlign w:val="center"/>
          </w:tcPr>
          <w:p w14:paraId="5A8E0A0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50" w:type="pct"/>
            <w:shd w:val="clear" w:color="auto" w:fill="3B3838" w:themeFill="background2" w:themeFillShade="40"/>
            <w:vAlign w:val="center"/>
          </w:tcPr>
          <w:p w14:paraId="16237E3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Beneficiar</w:t>
            </w:r>
          </w:p>
        </w:tc>
        <w:tc>
          <w:tcPr>
            <w:tcW w:w="809" w:type="pct"/>
            <w:shd w:val="clear" w:color="auto" w:fill="3B3838" w:themeFill="background2" w:themeFillShade="40"/>
            <w:vAlign w:val="center"/>
          </w:tcPr>
          <w:p w14:paraId="6AAD11D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833" w:type="pct"/>
            <w:shd w:val="clear" w:color="auto" w:fill="3B3838" w:themeFill="background2" w:themeFillShade="40"/>
            <w:vAlign w:val="center"/>
          </w:tcPr>
          <w:p w14:paraId="0C9332F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2FFA84F2" w14:textId="77777777" w:rsidTr="004604FA">
        <w:trPr>
          <w:jc w:val="center"/>
        </w:trPr>
        <w:tc>
          <w:tcPr>
            <w:tcW w:w="2107" w:type="pct"/>
            <w:shd w:val="clear" w:color="auto" w:fill="E7E6E6" w:themeFill="background2"/>
            <w:vAlign w:val="center"/>
          </w:tcPr>
          <w:p w14:paraId="5B87D8C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Strategia de dezvoltare a transporturilor navale</w:t>
            </w:r>
          </w:p>
        </w:tc>
        <w:tc>
          <w:tcPr>
            <w:tcW w:w="1250" w:type="pct"/>
            <w:shd w:val="clear" w:color="auto" w:fill="E7E6E6" w:themeFill="background2"/>
            <w:vAlign w:val="center"/>
          </w:tcPr>
          <w:p w14:paraId="0593EAB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 xml:space="preserve">Ministerul Transporturilor, </w:t>
            </w:r>
            <w:r w:rsidRPr="007D3D4F">
              <w:rPr>
                <w:rFonts w:ascii="Times New Roman" w:hAnsi="Times New Roman" w:cs="Times New Roman"/>
                <w:sz w:val="20"/>
                <w:szCs w:val="20"/>
              </w:rPr>
              <w:lastRenderedPageBreak/>
              <w:t>Infrastructurii și Comunicațiilor/Direcția Transport Naval</w:t>
            </w:r>
          </w:p>
        </w:tc>
        <w:tc>
          <w:tcPr>
            <w:tcW w:w="809" w:type="pct"/>
            <w:shd w:val="clear" w:color="auto" w:fill="E7E6E6" w:themeFill="background2"/>
            <w:vAlign w:val="center"/>
          </w:tcPr>
          <w:p w14:paraId="16A1211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lastRenderedPageBreak/>
              <w:t>Transport naval</w:t>
            </w:r>
          </w:p>
        </w:tc>
        <w:tc>
          <w:tcPr>
            <w:tcW w:w="833" w:type="pct"/>
            <w:shd w:val="clear" w:color="auto" w:fill="E7E6E6" w:themeFill="background2"/>
            <w:vAlign w:val="center"/>
          </w:tcPr>
          <w:p w14:paraId="3E7F2D5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5.379.638,94</w:t>
            </w:r>
          </w:p>
        </w:tc>
      </w:tr>
      <w:tr w:rsidR="00AF66BB" w:rsidRPr="007D3D4F" w14:paraId="368C94AC" w14:textId="77777777" w:rsidTr="004604FA">
        <w:trPr>
          <w:jc w:val="center"/>
        </w:trPr>
        <w:tc>
          <w:tcPr>
            <w:tcW w:w="2107" w:type="pct"/>
            <w:shd w:val="clear" w:color="auto" w:fill="E7E6E6" w:themeFill="background2"/>
            <w:vAlign w:val="center"/>
          </w:tcPr>
          <w:p w14:paraId="38CB0FC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Creșterea capacității de trafic a Canalului Sulina</w:t>
            </w:r>
          </w:p>
        </w:tc>
        <w:tc>
          <w:tcPr>
            <w:tcW w:w="1250" w:type="pct"/>
            <w:shd w:val="clear" w:color="auto" w:fill="E7E6E6" w:themeFill="background2"/>
            <w:vAlign w:val="center"/>
          </w:tcPr>
          <w:p w14:paraId="612A2E2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Regia Autonomă Administrația Fluvială a Dunării de Jos Galați SA</w:t>
            </w:r>
          </w:p>
        </w:tc>
        <w:tc>
          <w:tcPr>
            <w:tcW w:w="809" w:type="pct"/>
            <w:shd w:val="clear" w:color="auto" w:fill="E7E6E6" w:themeFill="background2"/>
            <w:vAlign w:val="center"/>
          </w:tcPr>
          <w:p w14:paraId="2A39394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833" w:type="pct"/>
            <w:shd w:val="clear" w:color="auto" w:fill="E7E6E6" w:themeFill="background2"/>
            <w:vAlign w:val="center"/>
          </w:tcPr>
          <w:p w14:paraId="7056371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86.873.028,95</w:t>
            </w:r>
          </w:p>
        </w:tc>
      </w:tr>
      <w:tr w:rsidR="00AF66BB" w:rsidRPr="007D3D4F" w14:paraId="6B29AAEC" w14:textId="77777777" w:rsidTr="004604FA">
        <w:trPr>
          <w:jc w:val="center"/>
        </w:trPr>
        <w:tc>
          <w:tcPr>
            <w:tcW w:w="2107" w:type="pct"/>
            <w:shd w:val="clear" w:color="auto" w:fill="E7E6E6" w:themeFill="background2"/>
            <w:vAlign w:val="center"/>
          </w:tcPr>
          <w:p w14:paraId="4A30553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Modernizarea a 5 poduri pe DN22 – E87 din intravilanul localitatii Babadag</w:t>
            </w:r>
          </w:p>
        </w:tc>
        <w:tc>
          <w:tcPr>
            <w:tcW w:w="1250" w:type="pct"/>
            <w:shd w:val="clear" w:color="auto" w:fill="E7E6E6" w:themeFill="background2"/>
            <w:vAlign w:val="center"/>
          </w:tcPr>
          <w:p w14:paraId="3B40EFF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CNAIR</w:t>
            </w:r>
          </w:p>
        </w:tc>
        <w:tc>
          <w:tcPr>
            <w:tcW w:w="809" w:type="pct"/>
            <w:shd w:val="clear" w:color="auto" w:fill="E7E6E6" w:themeFill="background2"/>
            <w:vAlign w:val="center"/>
          </w:tcPr>
          <w:p w14:paraId="45420B2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rutier</w:t>
            </w:r>
          </w:p>
        </w:tc>
        <w:tc>
          <w:tcPr>
            <w:tcW w:w="833" w:type="pct"/>
            <w:shd w:val="clear" w:color="auto" w:fill="E7E6E6" w:themeFill="background2"/>
            <w:vAlign w:val="center"/>
          </w:tcPr>
          <w:p w14:paraId="11B1C04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11.089.472,02</w:t>
            </w:r>
          </w:p>
        </w:tc>
      </w:tr>
      <w:tr w:rsidR="00AF66BB" w:rsidRPr="007D3D4F" w14:paraId="60B2412B" w14:textId="77777777" w:rsidTr="004604FA">
        <w:trPr>
          <w:jc w:val="center"/>
        </w:trPr>
        <w:tc>
          <w:tcPr>
            <w:tcW w:w="2107" w:type="pct"/>
            <w:shd w:val="clear" w:color="auto" w:fill="E7E6E6" w:themeFill="background2"/>
            <w:vAlign w:val="center"/>
          </w:tcPr>
          <w:p w14:paraId="388EFEB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Creșterea siguranței și securității pasagerilor pe Aeroportul ”Delta Dunării” Tulcea - asigurarea securității pasagerilor pe Aeroportul ”Delta Dunării” Tulcea</w:t>
            </w:r>
          </w:p>
        </w:tc>
        <w:tc>
          <w:tcPr>
            <w:tcW w:w="1250" w:type="pct"/>
            <w:shd w:val="clear" w:color="auto" w:fill="E7E6E6" w:themeFill="background2"/>
            <w:vAlign w:val="center"/>
          </w:tcPr>
          <w:p w14:paraId="60CFA52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Regia Autonomă Aeroportul "Delta Dunării" Tulcea</w:t>
            </w:r>
          </w:p>
        </w:tc>
        <w:tc>
          <w:tcPr>
            <w:tcW w:w="809" w:type="pct"/>
            <w:shd w:val="clear" w:color="auto" w:fill="E7E6E6" w:themeFill="background2"/>
            <w:vAlign w:val="center"/>
          </w:tcPr>
          <w:p w14:paraId="18FF92C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aerian</w:t>
            </w:r>
          </w:p>
        </w:tc>
        <w:tc>
          <w:tcPr>
            <w:tcW w:w="833" w:type="pct"/>
            <w:shd w:val="clear" w:color="auto" w:fill="E7E6E6" w:themeFill="background2"/>
            <w:vAlign w:val="center"/>
          </w:tcPr>
          <w:p w14:paraId="1FAD917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70.440.079,74</w:t>
            </w:r>
          </w:p>
        </w:tc>
      </w:tr>
      <w:tr w:rsidR="00AF66BB" w:rsidRPr="007D3D4F" w14:paraId="7CEC9641" w14:textId="77777777" w:rsidTr="004604FA">
        <w:trPr>
          <w:jc w:val="center"/>
        </w:trPr>
        <w:tc>
          <w:tcPr>
            <w:tcW w:w="2107" w:type="pct"/>
            <w:shd w:val="clear" w:color="auto" w:fill="E7E6E6" w:themeFill="background2"/>
            <w:vAlign w:val="center"/>
          </w:tcPr>
          <w:p w14:paraId="317AFEA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Creșterea siguranței și securității pasagerilor pe Aeroportul ”Delta Dunării” Tulcea - siguranța și creșterea siguranței pasagerilor pe Aeroportul ”Delta Dunării” Tulcea</w:t>
            </w:r>
          </w:p>
        </w:tc>
        <w:tc>
          <w:tcPr>
            <w:tcW w:w="1250" w:type="pct"/>
            <w:shd w:val="clear" w:color="auto" w:fill="E7E6E6" w:themeFill="background2"/>
            <w:vAlign w:val="center"/>
          </w:tcPr>
          <w:p w14:paraId="5687A24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Regia Autonomă Aeroportul "Delta Dunării" Tulcea</w:t>
            </w:r>
          </w:p>
        </w:tc>
        <w:tc>
          <w:tcPr>
            <w:tcW w:w="809" w:type="pct"/>
            <w:shd w:val="clear" w:color="auto" w:fill="E7E6E6" w:themeFill="background2"/>
            <w:vAlign w:val="center"/>
          </w:tcPr>
          <w:p w14:paraId="2C689F2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aerian</w:t>
            </w:r>
          </w:p>
        </w:tc>
        <w:tc>
          <w:tcPr>
            <w:tcW w:w="833" w:type="pct"/>
            <w:shd w:val="clear" w:color="auto" w:fill="E7E6E6" w:themeFill="background2"/>
            <w:vAlign w:val="center"/>
          </w:tcPr>
          <w:p w14:paraId="44AEB1E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12.949.036,62</w:t>
            </w:r>
          </w:p>
        </w:tc>
      </w:tr>
      <w:tr w:rsidR="00AF66BB" w:rsidRPr="007D3D4F" w14:paraId="697CB329" w14:textId="77777777" w:rsidTr="004604FA">
        <w:trPr>
          <w:jc w:val="center"/>
        </w:trPr>
        <w:tc>
          <w:tcPr>
            <w:tcW w:w="2107" w:type="pct"/>
            <w:shd w:val="clear" w:color="auto" w:fill="E7E6E6" w:themeFill="background2"/>
            <w:vAlign w:val="center"/>
          </w:tcPr>
          <w:p w14:paraId="1B4D2E8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Modernizarea Portului Tulcea - de la Mm 38+1530 - la Mm 38+800</w:t>
            </w:r>
          </w:p>
        </w:tc>
        <w:tc>
          <w:tcPr>
            <w:tcW w:w="1250" w:type="pct"/>
            <w:shd w:val="clear" w:color="auto" w:fill="E7E6E6" w:themeFill="background2"/>
            <w:vAlign w:val="center"/>
          </w:tcPr>
          <w:p w14:paraId="7AFFC9A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UAT Județul Tulcea</w:t>
            </w:r>
          </w:p>
        </w:tc>
        <w:tc>
          <w:tcPr>
            <w:tcW w:w="809" w:type="pct"/>
            <w:shd w:val="clear" w:color="auto" w:fill="E7E6E6" w:themeFill="background2"/>
            <w:vAlign w:val="center"/>
          </w:tcPr>
          <w:p w14:paraId="41E75A1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833" w:type="pct"/>
            <w:shd w:val="clear" w:color="auto" w:fill="E7E6E6" w:themeFill="background2"/>
            <w:vAlign w:val="center"/>
          </w:tcPr>
          <w:p w14:paraId="63770EB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245.253.627,76</w:t>
            </w:r>
          </w:p>
        </w:tc>
      </w:tr>
      <w:tr w:rsidR="00AF66BB" w:rsidRPr="007D3D4F" w14:paraId="31FE8DA2" w14:textId="77777777" w:rsidTr="004604FA">
        <w:trPr>
          <w:jc w:val="center"/>
        </w:trPr>
        <w:tc>
          <w:tcPr>
            <w:tcW w:w="2107" w:type="pct"/>
            <w:shd w:val="clear" w:color="auto" w:fill="E7E6E6" w:themeFill="background2"/>
            <w:vAlign w:val="center"/>
          </w:tcPr>
          <w:p w14:paraId="6FF2119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Amenajarea punctului internațional de trecere a frontierei de stat româno –ucrainene pentru pasageri și marfă în regim de bac între localitățile Isaccea (România) și Orlivka (Ucraina)</w:t>
            </w:r>
          </w:p>
        </w:tc>
        <w:tc>
          <w:tcPr>
            <w:tcW w:w="1250" w:type="pct"/>
            <w:shd w:val="clear" w:color="auto" w:fill="E7E6E6" w:themeFill="background2"/>
            <w:vAlign w:val="center"/>
          </w:tcPr>
          <w:p w14:paraId="3498FA8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Navrom Bac SRL</w:t>
            </w:r>
          </w:p>
        </w:tc>
        <w:tc>
          <w:tcPr>
            <w:tcW w:w="809" w:type="pct"/>
            <w:shd w:val="clear" w:color="auto" w:fill="E7E6E6" w:themeFill="background2"/>
            <w:vAlign w:val="center"/>
          </w:tcPr>
          <w:p w14:paraId="6BD0343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833" w:type="pct"/>
            <w:shd w:val="clear" w:color="auto" w:fill="E7E6E6" w:themeFill="background2"/>
            <w:vAlign w:val="center"/>
          </w:tcPr>
          <w:p w14:paraId="2D6FB85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6.889.997,82</w:t>
            </w:r>
          </w:p>
        </w:tc>
      </w:tr>
      <w:tr w:rsidR="00AF66BB" w:rsidRPr="007D3D4F" w14:paraId="253B7A67" w14:textId="77777777" w:rsidTr="004604FA">
        <w:trPr>
          <w:jc w:val="center"/>
        </w:trPr>
        <w:tc>
          <w:tcPr>
            <w:tcW w:w="2107" w:type="pct"/>
            <w:shd w:val="clear" w:color="auto" w:fill="E7E6E6" w:themeFill="background2"/>
            <w:vAlign w:val="center"/>
          </w:tcPr>
          <w:p w14:paraId="0D8C5F0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Dezvoltare Port Isaccea - Reabilitare și modernizare infrastructură portuară</w:t>
            </w:r>
          </w:p>
        </w:tc>
        <w:tc>
          <w:tcPr>
            <w:tcW w:w="1250" w:type="pct"/>
            <w:shd w:val="clear" w:color="auto" w:fill="E7E6E6" w:themeFill="background2"/>
            <w:vAlign w:val="center"/>
          </w:tcPr>
          <w:p w14:paraId="5D25C3C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Compania Națională Administrația Porturilor Dunării Maritime SA</w:t>
            </w:r>
          </w:p>
        </w:tc>
        <w:tc>
          <w:tcPr>
            <w:tcW w:w="809" w:type="pct"/>
            <w:shd w:val="clear" w:color="auto" w:fill="E7E6E6" w:themeFill="background2"/>
            <w:vAlign w:val="center"/>
          </w:tcPr>
          <w:p w14:paraId="0CD5041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833" w:type="pct"/>
            <w:shd w:val="clear" w:color="auto" w:fill="E7E6E6" w:themeFill="background2"/>
            <w:vAlign w:val="center"/>
          </w:tcPr>
          <w:p w14:paraId="630A827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21.355.485,10</w:t>
            </w:r>
          </w:p>
        </w:tc>
      </w:tr>
      <w:tr w:rsidR="00AF66BB" w:rsidRPr="007D3D4F" w14:paraId="1B37EDDC" w14:textId="77777777" w:rsidTr="004604FA">
        <w:trPr>
          <w:jc w:val="center"/>
        </w:trPr>
        <w:tc>
          <w:tcPr>
            <w:tcW w:w="2107" w:type="pct"/>
            <w:shd w:val="clear" w:color="auto" w:fill="E7E6E6" w:themeFill="background2"/>
            <w:vAlign w:val="center"/>
          </w:tcPr>
          <w:p w14:paraId="75D3883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Modernizarea si Dezvoltarea Portului Chilia Veche</w:t>
            </w:r>
          </w:p>
        </w:tc>
        <w:tc>
          <w:tcPr>
            <w:tcW w:w="1250" w:type="pct"/>
            <w:shd w:val="clear" w:color="auto" w:fill="E7E6E6" w:themeFill="background2"/>
            <w:vAlign w:val="center"/>
          </w:tcPr>
          <w:p w14:paraId="4F1DE57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Compania Națională Administrația Porturilor Dunării Maritime SA</w:t>
            </w:r>
          </w:p>
        </w:tc>
        <w:tc>
          <w:tcPr>
            <w:tcW w:w="809" w:type="pct"/>
            <w:shd w:val="clear" w:color="auto" w:fill="E7E6E6" w:themeFill="background2"/>
            <w:vAlign w:val="center"/>
          </w:tcPr>
          <w:p w14:paraId="48FA1D7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833" w:type="pct"/>
            <w:shd w:val="clear" w:color="auto" w:fill="E7E6E6" w:themeFill="background2"/>
            <w:vAlign w:val="center"/>
          </w:tcPr>
          <w:p w14:paraId="3E49406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40.726.567,40</w:t>
            </w:r>
          </w:p>
        </w:tc>
      </w:tr>
      <w:tr w:rsidR="00AF66BB" w:rsidRPr="007D3D4F" w14:paraId="15E17327" w14:textId="77777777" w:rsidTr="004604FA">
        <w:trPr>
          <w:jc w:val="center"/>
        </w:trPr>
        <w:tc>
          <w:tcPr>
            <w:tcW w:w="2107" w:type="pct"/>
            <w:shd w:val="clear" w:color="auto" w:fill="E7E6E6" w:themeFill="background2"/>
            <w:vAlign w:val="center"/>
          </w:tcPr>
          <w:p w14:paraId="4BACC6D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Modernizarea trecerilor la nivel cu calea ferată – Studiu de Fezabilitate –  S.R.C.F. Constanța</w:t>
            </w:r>
          </w:p>
        </w:tc>
        <w:tc>
          <w:tcPr>
            <w:tcW w:w="1250" w:type="pct"/>
            <w:shd w:val="clear" w:color="auto" w:fill="E7E6E6" w:themeFill="background2"/>
            <w:vAlign w:val="center"/>
          </w:tcPr>
          <w:p w14:paraId="3E562A7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Compania Națională de Cai Ferate "CFR" SA</w:t>
            </w:r>
          </w:p>
        </w:tc>
        <w:tc>
          <w:tcPr>
            <w:tcW w:w="809" w:type="pct"/>
            <w:shd w:val="clear" w:color="auto" w:fill="E7E6E6" w:themeFill="background2"/>
            <w:vAlign w:val="center"/>
          </w:tcPr>
          <w:p w14:paraId="0AA7B55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rutier</w:t>
            </w:r>
          </w:p>
        </w:tc>
        <w:tc>
          <w:tcPr>
            <w:tcW w:w="833" w:type="pct"/>
            <w:shd w:val="clear" w:color="auto" w:fill="E7E6E6" w:themeFill="background2"/>
            <w:vAlign w:val="center"/>
          </w:tcPr>
          <w:p w14:paraId="5EE5184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1.680.000,00</w:t>
            </w:r>
          </w:p>
        </w:tc>
      </w:tr>
      <w:tr w:rsidR="00AF66BB" w:rsidRPr="007D3D4F" w14:paraId="15BD0E3D" w14:textId="77777777" w:rsidTr="004604FA">
        <w:trPr>
          <w:jc w:val="center"/>
        </w:trPr>
        <w:tc>
          <w:tcPr>
            <w:tcW w:w="4167" w:type="pct"/>
            <w:gridSpan w:val="3"/>
            <w:shd w:val="clear" w:color="auto" w:fill="E7E6E6" w:themeFill="background2"/>
            <w:vAlign w:val="center"/>
          </w:tcPr>
          <w:p w14:paraId="050B4F5A" w14:textId="77777777" w:rsidR="00AF66BB" w:rsidRPr="007D3D4F" w:rsidRDefault="00AF66BB" w:rsidP="004C072F">
            <w:pPr>
              <w:spacing w:before="120" w:after="12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Total</w:t>
            </w:r>
          </w:p>
        </w:tc>
        <w:tc>
          <w:tcPr>
            <w:tcW w:w="833" w:type="pct"/>
            <w:shd w:val="clear" w:color="auto" w:fill="E7E6E6" w:themeFill="background2"/>
            <w:vAlign w:val="center"/>
          </w:tcPr>
          <w:p w14:paraId="1DEFDB4E" w14:textId="77777777" w:rsidR="00AF66BB" w:rsidRPr="007D3D4F" w:rsidRDefault="00AF66BB" w:rsidP="004C072F">
            <w:pPr>
              <w:spacing w:before="120" w:after="120"/>
              <w:contextualSpacing/>
              <w:jc w:val="center"/>
              <w:rPr>
                <w:rFonts w:ascii="Times New Roman" w:hAnsi="Times New Roman" w:cs="Times New Roman"/>
                <w:b/>
                <w:bCs/>
                <w:color w:val="000000"/>
                <w:sz w:val="20"/>
                <w:szCs w:val="20"/>
              </w:rPr>
            </w:pPr>
            <w:r w:rsidRPr="007D3D4F">
              <w:rPr>
                <w:rFonts w:ascii="Times New Roman" w:hAnsi="Times New Roman" w:cs="Times New Roman"/>
                <w:b/>
                <w:bCs/>
                <w:color w:val="000000"/>
                <w:sz w:val="20"/>
                <w:szCs w:val="20"/>
              </w:rPr>
              <w:t>502.636.934,35</w:t>
            </w:r>
          </w:p>
        </w:tc>
      </w:tr>
    </w:tbl>
    <w:p w14:paraId="10D7F7E7"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84E262B"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Datele prezentate evidențiază un portofoliu divers de investiții în transport derulate prin Programul Operațional Infrastructură Mare (POIM) în perioada 2014–2020, acoperind toate modurile de transport – rutier, aerian și naval.</w:t>
      </w:r>
    </w:p>
    <w:p w14:paraId="791B23DF" w14:textId="77777777" w:rsidR="00AF66BB" w:rsidRPr="007D3D4F" w:rsidRDefault="00AF66BB" w:rsidP="004C072F">
      <w:pPr>
        <w:spacing w:before="120" w:after="120" w:line="240" w:lineRule="auto"/>
        <w:contextualSpacing/>
        <w:rPr>
          <w:rFonts w:ascii="Times New Roman" w:hAnsi="Times New Roman" w:cs="Times New Roman"/>
          <w:b/>
          <w:bCs/>
        </w:rPr>
      </w:pPr>
      <w:r w:rsidRPr="007D3D4F">
        <w:rPr>
          <w:rFonts w:ascii="Times New Roman" w:hAnsi="Times New Roman" w:cs="Times New Roman"/>
          <w:b/>
          <w:bCs/>
        </w:rPr>
        <w:t>Observații pe tipuri de transport:</w:t>
      </w:r>
    </w:p>
    <w:p w14:paraId="213C2391" w14:textId="77777777" w:rsidR="00AF66BB" w:rsidRPr="007D3D4F" w:rsidRDefault="00AF66BB" w:rsidP="00D81598">
      <w:pPr>
        <w:numPr>
          <w:ilvl w:val="0"/>
          <w:numId w:val="13"/>
        </w:numPr>
        <w:spacing w:before="120" w:after="120" w:line="240" w:lineRule="auto"/>
        <w:contextualSpacing/>
        <w:jc w:val="both"/>
        <w:rPr>
          <w:rFonts w:ascii="Times New Roman" w:hAnsi="Times New Roman" w:cs="Times New Roman"/>
        </w:rPr>
      </w:pPr>
      <w:r w:rsidRPr="007D3D4F">
        <w:rPr>
          <w:rFonts w:ascii="Times New Roman" w:hAnsi="Times New Roman" w:cs="Times New Roman"/>
          <w:i/>
          <w:iCs/>
        </w:rPr>
        <w:t>Transport aerian</w:t>
      </w:r>
      <w:r w:rsidRPr="007D3D4F">
        <w:rPr>
          <w:rFonts w:ascii="Times New Roman" w:hAnsi="Times New Roman" w:cs="Times New Roman"/>
        </w:rPr>
        <w:t xml:space="preserve"> – Aeroportul „Delta Dunării” Tulcea a beneficiat de finanțări semnificative, în principal pentru sporirea siguranței pasagerilor și modernizarea infrastructurii de securitate. Acest fapt arată o intenție strategică clară de consolidare a funcționalității aeroportului ca hub regional pentru turism și accesibilitate în Delta Dunării.</w:t>
      </w:r>
    </w:p>
    <w:p w14:paraId="1B2D2767" w14:textId="77777777" w:rsidR="00AF66BB" w:rsidRPr="007D3D4F" w:rsidRDefault="00AF66BB" w:rsidP="00D81598">
      <w:pPr>
        <w:numPr>
          <w:ilvl w:val="0"/>
          <w:numId w:val="13"/>
        </w:numPr>
        <w:spacing w:before="120" w:after="120" w:line="240" w:lineRule="auto"/>
        <w:contextualSpacing/>
        <w:jc w:val="both"/>
        <w:rPr>
          <w:rFonts w:ascii="Times New Roman" w:hAnsi="Times New Roman" w:cs="Times New Roman"/>
        </w:rPr>
      </w:pPr>
      <w:r w:rsidRPr="007D3D4F">
        <w:rPr>
          <w:rFonts w:ascii="Times New Roman" w:hAnsi="Times New Roman" w:cs="Times New Roman"/>
          <w:i/>
          <w:iCs/>
        </w:rPr>
        <w:t>Transport naval</w:t>
      </w:r>
      <w:r w:rsidRPr="007D3D4F">
        <w:rPr>
          <w:rFonts w:ascii="Times New Roman" w:hAnsi="Times New Roman" w:cs="Times New Roman"/>
        </w:rPr>
        <w:t xml:space="preserve"> – Au fost realizate lucrări importante de dezvoltare portuară, inclusiv în porturile Chilia Veche și Isaccea, dar și pentru modernizarea portului Tulcea, ceea ce contribuie la funcționalitatea rețelei de transport fluvial și la valorificarea potențialului logistic al regiunii. Intervențiile punctuale, cum este amenajarea punctului de trecere Isaccea–Orlovka, reflectă și o dimensiune transfrontalieră importantă.</w:t>
      </w:r>
    </w:p>
    <w:p w14:paraId="2E4D56F6" w14:textId="77777777" w:rsidR="00AF66BB" w:rsidRPr="007D3D4F" w:rsidRDefault="00AF66BB" w:rsidP="00D81598">
      <w:pPr>
        <w:numPr>
          <w:ilvl w:val="0"/>
          <w:numId w:val="13"/>
        </w:numPr>
        <w:spacing w:before="120" w:after="120" w:line="240" w:lineRule="auto"/>
        <w:contextualSpacing/>
        <w:jc w:val="both"/>
        <w:rPr>
          <w:rFonts w:ascii="Times New Roman" w:hAnsi="Times New Roman" w:cs="Times New Roman"/>
        </w:rPr>
      </w:pPr>
      <w:r w:rsidRPr="007D3D4F">
        <w:rPr>
          <w:rFonts w:ascii="Times New Roman" w:hAnsi="Times New Roman" w:cs="Times New Roman"/>
          <w:i/>
          <w:iCs/>
        </w:rPr>
        <w:lastRenderedPageBreak/>
        <w:t>Transport rutier</w:t>
      </w:r>
      <w:r w:rsidRPr="007D3D4F">
        <w:rPr>
          <w:rFonts w:ascii="Times New Roman" w:hAnsi="Times New Roman" w:cs="Times New Roman"/>
        </w:rPr>
        <w:t xml:space="preserve"> – Deși mai limitate ca număr, proiectele rutiere s-au concentrat pe modernizarea unor tronsoane strategice, precum cele de pe DN22, asigurând o mai bună conectivitate locală și regională.</w:t>
      </w:r>
    </w:p>
    <w:p w14:paraId="680DEC36"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Investițiile din perioada POIM au vizat în principal siguranța și infrastructura de bază, ceea ce oferă o platformă funcțională pentru dezvoltări ulterioare. Tulcea dispune deja de infrastructură portuară modernizată, un aeroport operațional îmbunătățit și tronsoane rutiere consolidate, care pot fi valorificate în direcții noi de dezvoltare.</w:t>
      </w:r>
    </w:p>
    <w:p w14:paraId="792BD371"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Totodată, se observă o lipsă de proiecte intermodale și ITS (transport inteligent), precum și o necesitate de extindere a accesului rutier modernizat către zonele mai izolate ale județului.</w:t>
      </w:r>
    </w:p>
    <w:p w14:paraId="215B919C"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Pe lângă proiectele deja finalizate, în județul Tulcea sunt </w:t>
      </w:r>
      <w:r w:rsidRPr="007D3D4F">
        <w:rPr>
          <w:rFonts w:ascii="Times New Roman" w:hAnsi="Times New Roman" w:cs="Times New Roman"/>
          <w:b/>
          <w:bCs/>
        </w:rPr>
        <w:t>în derulare</w:t>
      </w:r>
      <w:r w:rsidRPr="007D3D4F">
        <w:rPr>
          <w:rFonts w:ascii="Times New Roman" w:hAnsi="Times New Roman" w:cs="Times New Roman"/>
        </w:rPr>
        <w:t xml:space="preserve"> mai multe investiții majore finanțate prin Programul Operațional Infrastructură Mare 2014–2020. Acestea vizează îmbunătățirea infrastructurii rutiere, navale și aeriene, contribuind la consolidarea conectivității și la creșterea atractivității economice și turistice a regiunii.</w:t>
      </w:r>
    </w:p>
    <w:p w14:paraId="50EDD561" w14:textId="03521136"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7</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aflate în implementare în județul Tulcea prin Programul Operațional Infrastructură Mare (POIM) 2014–2020</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51"/>
        <w:gridCol w:w="2336"/>
        <w:gridCol w:w="1432"/>
        <w:gridCol w:w="1725"/>
      </w:tblGrid>
      <w:tr w:rsidR="00AF66BB" w:rsidRPr="007D3D4F" w14:paraId="2CFE3DED" w14:textId="77777777" w:rsidTr="004604FA">
        <w:trPr>
          <w:jc w:val="center"/>
        </w:trPr>
        <w:tc>
          <w:tcPr>
            <w:tcW w:w="2061" w:type="pct"/>
            <w:shd w:val="clear" w:color="auto" w:fill="3B3838" w:themeFill="background2" w:themeFillShade="40"/>
            <w:vAlign w:val="center"/>
          </w:tcPr>
          <w:p w14:paraId="4F1FBD8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50" w:type="pct"/>
            <w:shd w:val="clear" w:color="auto" w:fill="3B3838" w:themeFill="background2" w:themeFillShade="40"/>
            <w:vAlign w:val="center"/>
          </w:tcPr>
          <w:p w14:paraId="0FB7F03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Beneficiar</w:t>
            </w:r>
          </w:p>
        </w:tc>
        <w:tc>
          <w:tcPr>
            <w:tcW w:w="766" w:type="pct"/>
            <w:shd w:val="clear" w:color="auto" w:fill="3B3838" w:themeFill="background2" w:themeFillShade="40"/>
            <w:vAlign w:val="center"/>
          </w:tcPr>
          <w:p w14:paraId="1E86481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23" w:type="pct"/>
            <w:shd w:val="clear" w:color="auto" w:fill="3B3838" w:themeFill="background2" w:themeFillShade="40"/>
            <w:vAlign w:val="center"/>
          </w:tcPr>
          <w:p w14:paraId="20886E5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6D367514" w14:textId="77777777" w:rsidTr="004604FA">
        <w:trPr>
          <w:jc w:val="center"/>
        </w:trPr>
        <w:tc>
          <w:tcPr>
            <w:tcW w:w="2061" w:type="pct"/>
            <w:shd w:val="clear" w:color="auto" w:fill="E7E6E6" w:themeFill="background2"/>
            <w:vAlign w:val="center"/>
          </w:tcPr>
          <w:p w14:paraId="309A6EA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Pod suspendat peste Dunăre în zona Brăila</w:t>
            </w:r>
          </w:p>
        </w:tc>
        <w:tc>
          <w:tcPr>
            <w:tcW w:w="1250" w:type="pct"/>
            <w:shd w:val="clear" w:color="auto" w:fill="E7E6E6" w:themeFill="background2"/>
            <w:vAlign w:val="center"/>
          </w:tcPr>
          <w:p w14:paraId="2F9420C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CNAIR</w:t>
            </w:r>
          </w:p>
        </w:tc>
        <w:tc>
          <w:tcPr>
            <w:tcW w:w="766" w:type="pct"/>
            <w:shd w:val="clear" w:color="auto" w:fill="E7E6E6" w:themeFill="background2"/>
            <w:vAlign w:val="center"/>
          </w:tcPr>
          <w:p w14:paraId="60B9AAB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23" w:type="pct"/>
            <w:shd w:val="clear" w:color="auto" w:fill="E7E6E6" w:themeFill="background2"/>
            <w:vAlign w:val="center"/>
          </w:tcPr>
          <w:p w14:paraId="4DD7DC9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3.445.210.691,08</w:t>
            </w:r>
          </w:p>
        </w:tc>
      </w:tr>
      <w:tr w:rsidR="00AF66BB" w:rsidRPr="007D3D4F" w14:paraId="3E6A8E50" w14:textId="77777777" w:rsidTr="004604FA">
        <w:trPr>
          <w:jc w:val="center"/>
        </w:trPr>
        <w:tc>
          <w:tcPr>
            <w:tcW w:w="2061" w:type="pct"/>
            <w:shd w:val="clear" w:color="auto" w:fill="E7E6E6" w:themeFill="background2"/>
            <w:vAlign w:val="center"/>
          </w:tcPr>
          <w:p w14:paraId="5D36738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și extindere terminal pasageri. Modernizarea platformei de îmbarcare-debarcare și a căii de rulare alfa (construite în 1973). Construire platforma dedicată activităților de degivrare/antigivrare aeronave</w:t>
            </w:r>
          </w:p>
        </w:tc>
        <w:tc>
          <w:tcPr>
            <w:tcW w:w="1250" w:type="pct"/>
            <w:shd w:val="clear" w:color="auto" w:fill="E7E6E6" w:themeFill="background2"/>
            <w:vAlign w:val="center"/>
          </w:tcPr>
          <w:p w14:paraId="0CFA03C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Regia Autonomă Aeroportul "Delta Dunării" Tulcea</w:t>
            </w:r>
          </w:p>
        </w:tc>
        <w:tc>
          <w:tcPr>
            <w:tcW w:w="766" w:type="pct"/>
            <w:shd w:val="clear" w:color="auto" w:fill="E7E6E6" w:themeFill="background2"/>
            <w:vAlign w:val="center"/>
          </w:tcPr>
          <w:p w14:paraId="6E7033B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aerian</w:t>
            </w:r>
          </w:p>
        </w:tc>
        <w:tc>
          <w:tcPr>
            <w:tcW w:w="923" w:type="pct"/>
            <w:shd w:val="clear" w:color="auto" w:fill="E7E6E6" w:themeFill="background2"/>
            <w:vAlign w:val="center"/>
          </w:tcPr>
          <w:p w14:paraId="617E1EA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194.880.823,07</w:t>
            </w:r>
          </w:p>
        </w:tc>
      </w:tr>
      <w:tr w:rsidR="00AF66BB" w:rsidRPr="007D3D4F" w14:paraId="62C12F86" w14:textId="77777777" w:rsidTr="004604FA">
        <w:trPr>
          <w:jc w:val="center"/>
        </w:trPr>
        <w:tc>
          <w:tcPr>
            <w:tcW w:w="2061" w:type="pct"/>
            <w:shd w:val="clear" w:color="auto" w:fill="E7E6E6" w:themeFill="background2"/>
            <w:vAlign w:val="center"/>
          </w:tcPr>
          <w:p w14:paraId="18E25BE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Reabilitarea și modernizarea infrastructurii portuare a portului Sulina</w:t>
            </w:r>
          </w:p>
        </w:tc>
        <w:tc>
          <w:tcPr>
            <w:tcW w:w="1250" w:type="pct"/>
            <w:shd w:val="clear" w:color="auto" w:fill="E7E6E6" w:themeFill="background2"/>
            <w:vAlign w:val="center"/>
          </w:tcPr>
          <w:p w14:paraId="3EEC28F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U.A.T. Oraș Sulina</w:t>
            </w:r>
          </w:p>
        </w:tc>
        <w:tc>
          <w:tcPr>
            <w:tcW w:w="766" w:type="pct"/>
            <w:shd w:val="clear" w:color="auto" w:fill="E7E6E6" w:themeFill="background2"/>
            <w:vAlign w:val="center"/>
          </w:tcPr>
          <w:p w14:paraId="04EBB41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923" w:type="pct"/>
            <w:shd w:val="clear" w:color="auto" w:fill="E7E6E6" w:themeFill="background2"/>
            <w:vAlign w:val="center"/>
          </w:tcPr>
          <w:p w14:paraId="6167B61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190.203.680,73</w:t>
            </w:r>
          </w:p>
        </w:tc>
      </w:tr>
      <w:tr w:rsidR="00AF66BB" w:rsidRPr="007D3D4F" w14:paraId="27B80FD0" w14:textId="77777777" w:rsidTr="004604FA">
        <w:trPr>
          <w:jc w:val="center"/>
        </w:trPr>
        <w:tc>
          <w:tcPr>
            <w:tcW w:w="4077" w:type="pct"/>
            <w:gridSpan w:val="3"/>
            <w:shd w:val="clear" w:color="auto" w:fill="767171" w:themeFill="background2" w:themeFillShade="80"/>
            <w:vAlign w:val="center"/>
          </w:tcPr>
          <w:p w14:paraId="2849171A" w14:textId="77777777" w:rsidR="00AF66BB" w:rsidRPr="004604FA" w:rsidRDefault="00AF66BB" w:rsidP="004C072F">
            <w:pPr>
              <w:spacing w:before="120" w:after="120"/>
              <w:contextualSpacing/>
              <w:jc w:val="center"/>
              <w:rPr>
                <w:rFonts w:ascii="Times New Roman" w:hAnsi="Times New Roman" w:cs="Times New Roman"/>
                <w:b/>
                <w:bCs/>
                <w:color w:val="FFFFFF" w:themeColor="background1"/>
                <w:sz w:val="20"/>
                <w:szCs w:val="20"/>
              </w:rPr>
            </w:pPr>
            <w:r w:rsidRPr="004604FA">
              <w:rPr>
                <w:rFonts w:ascii="Times New Roman" w:hAnsi="Times New Roman" w:cs="Times New Roman"/>
                <w:b/>
                <w:bCs/>
                <w:color w:val="FFFFFF" w:themeColor="background1"/>
                <w:sz w:val="20"/>
                <w:szCs w:val="20"/>
              </w:rPr>
              <w:t>Total</w:t>
            </w:r>
          </w:p>
        </w:tc>
        <w:tc>
          <w:tcPr>
            <w:tcW w:w="923" w:type="pct"/>
            <w:shd w:val="clear" w:color="auto" w:fill="767171" w:themeFill="background2" w:themeFillShade="80"/>
            <w:vAlign w:val="center"/>
          </w:tcPr>
          <w:p w14:paraId="1707F7BF" w14:textId="77777777" w:rsidR="00AF66BB" w:rsidRPr="004604FA" w:rsidRDefault="00AF66BB" w:rsidP="004C072F">
            <w:pPr>
              <w:spacing w:before="120" w:after="120"/>
              <w:contextualSpacing/>
              <w:jc w:val="center"/>
              <w:rPr>
                <w:rFonts w:ascii="Times New Roman" w:hAnsi="Times New Roman" w:cs="Times New Roman"/>
                <w:b/>
                <w:bCs/>
                <w:color w:val="FFFFFF" w:themeColor="background1"/>
                <w:sz w:val="20"/>
                <w:szCs w:val="20"/>
              </w:rPr>
            </w:pPr>
            <w:r w:rsidRPr="004604FA">
              <w:rPr>
                <w:rFonts w:ascii="Times New Roman" w:hAnsi="Times New Roman" w:cs="Times New Roman"/>
                <w:b/>
                <w:bCs/>
                <w:color w:val="FFFFFF" w:themeColor="background1"/>
                <w:sz w:val="20"/>
                <w:szCs w:val="20"/>
              </w:rPr>
              <w:t>3.830.295.194,88</w:t>
            </w:r>
          </w:p>
        </w:tc>
      </w:tr>
    </w:tbl>
    <w:p w14:paraId="5B436598"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39D598D"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Cele trei proiecte aflate în desfășurare însumează o valoare totală de peste </w:t>
      </w:r>
      <w:r w:rsidRPr="007D3D4F">
        <w:rPr>
          <w:rFonts w:ascii="Times New Roman" w:hAnsi="Times New Roman" w:cs="Times New Roman"/>
          <w:b/>
          <w:bCs/>
        </w:rPr>
        <w:t xml:space="preserve">3,8 </w:t>
      </w:r>
      <w:r w:rsidRPr="007D3D4F">
        <w:rPr>
          <w:rFonts w:ascii="Times New Roman" w:hAnsi="Times New Roman" w:cs="Times New Roman"/>
        </w:rPr>
        <w:t>miliarde lei, ceea ce reflectă o direcție clară de investiții strategice în infrastructură complexă.</w:t>
      </w:r>
    </w:p>
    <w:p w14:paraId="06814E31"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b/>
          <w:bCs/>
        </w:rPr>
        <w:t>Podul suspendat peste Dunăre în zona Brăila</w:t>
      </w:r>
      <w:r w:rsidRPr="007D3D4F">
        <w:rPr>
          <w:rFonts w:ascii="Times New Roman" w:hAnsi="Times New Roman" w:cs="Times New Roman"/>
        </w:rPr>
        <w:t>, deși localizat parțial în județul vecin, are un impact direct asupra mobilității și conectivității rutiere a județului Tulcea, prin scurtarea semnificativă a timpilor de traversare a fluviului și prin facilitarea accesului către rețeaua rutieră națională și europeană.</w:t>
      </w:r>
    </w:p>
    <w:p w14:paraId="29A16AB8"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Investiția în </w:t>
      </w:r>
      <w:r w:rsidRPr="007D3D4F">
        <w:rPr>
          <w:rFonts w:ascii="Times New Roman" w:hAnsi="Times New Roman" w:cs="Times New Roman"/>
          <w:b/>
          <w:bCs/>
        </w:rPr>
        <w:t>modernizarea și extinderea terminalului de pasageri</w:t>
      </w:r>
      <w:r w:rsidRPr="007D3D4F">
        <w:rPr>
          <w:rFonts w:ascii="Times New Roman" w:hAnsi="Times New Roman" w:cs="Times New Roman"/>
        </w:rPr>
        <w:t xml:space="preserve"> al Aeroportului „Delta Dunării” urmărește să transforme infrastructura aeriană locală într-o platformă modernă, capabilă să asigure fluxuri turistice și logistice mai mari, inclusiv în condiții meteorologice dificile, prin includerea facilităților de degivrare/antigivrare.</w:t>
      </w:r>
    </w:p>
    <w:p w14:paraId="3087E22C"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În ceea ce privește </w:t>
      </w:r>
      <w:r w:rsidRPr="007D3D4F">
        <w:rPr>
          <w:rFonts w:ascii="Times New Roman" w:hAnsi="Times New Roman" w:cs="Times New Roman"/>
          <w:b/>
          <w:bCs/>
        </w:rPr>
        <w:t>modernizarea portului Sulina</w:t>
      </w:r>
      <w:r w:rsidRPr="007D3D4F">
        <w:rPr>
          <w:rFonts w:ascii="Times New Roman" w:hAnsi="Times New Roman" w:cs="Times New Roman"/>
        </w:rPr>
        <w:t>, proiectul contribuie la consolidarea infrastructurii navale din Delta Dunării, cu impact asupra navigabilității, turismului și activităților economice fluviale.</w:t>
      </w:r>
    </w:p>
    <w:p w14:paraId="67FC76D7" w14:textId="77777777" w:rsidR="00AF66BB"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Proiectele prezentate în tabelul de mai jos vizează porturi și infrastructuri adiacente din localități precum Sulina, Tulcea și Măcin, sugerând o preocupare constantă pentru consolidarea capacităților logistice și a conectivității în zona Deltei Dunării. Continuarea acestor investiții poate contribui semnificativ la dezvoltarea durabilă a transportului naval regional.</w:t>
      </w:r>
    </w:p>
    <w:p w14:paraId="52CF8570" w14:textId="77777777" w:rsidR="004604FA" w:rsidRDefault="004604FA" w:rsidP="004C072F">
      <w:pPr>
        <w:spacing w:before="120" w:after="120" w:line="240" w:lineRule="auto"/>
        <w:contextualSpacing/>
        <w:jc w:val="both"/>
        <w:rPr>
          <w:rFonts w:ascii="Times New Roman" w:hAnsi="Times New Roman" w:cs="Times New Roman"/>
        </w:rPr>
      </w:pPr>
    </w:p>
    <w:p w14:paraId="54080610" w14:textId="77777777" w:rsidR="004604FA" w:rsidRDefault="004604FA" w:rsidP="004C072F">
      <w:pPr>
        <w:spacing w:before="120" w:after="120" w:line="240" w:lineRule="auto"/>
        <w:contextualSpacing/>
        <w:jc w:val="both"/>
        <w:rPr>
          <w:rFonts w:ascii="Times New Roman" w:hAnsi="Times New Roman" w:cs="Times New Roman"/>
        </w:rPr>
      </w:pPr>
    </w:p>
    <w:p w14:paraId="142BECB0" w14:textId="77777777" w:rsidR="004604FA" w:rsidRPr="007D3D4F" w:rsidRDefault="004604FA" w:rsidP="004C072F">
      <w:pPr>
        <w:spacing w:before="120" w:after="120" w:line="240" w:lineRule="auto"/>
        <w:contextualSpacing/>
        <w:jc w:val="both"/>
        <w:rPr>
          <w:rFonts w:ascii="Times New Roman" w:hAnsi="Times New Roman" w:cs="Times New Roman"/>
        </w:rPr>
      </w:pPr>
    </w:p>
    <w:p w14:paraId="5B681389" w14:textId="6866539C"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8</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nemajore în</w:t>
      </w:r>
      <w:r w:rsidR="00AF4EB1">
        <w:rPr>
          <w:rFonts w:ascii="Times New Roman" w:hAnsi="Times New Roman" w:cs="Times New Roman"/>
          <w:b/>
          <w:bCs/>
          <w:i w:val="0"/>
          <w:iCs w:val="0"/>
          <w:color w:val="auto"/>
          <w:sz w:val="22"/>
          <w:szCs w:val="22"/>
        </w:rPr>
        <w:t xml:space="preserve"> transportul naval,</w:t>
      </w:r>
      <w:r w:rsidRPr="007D3D4F">
        <w:rPr>
          <w:rFonts w:ascii="Times New Roman" w:hAnsi="Times New Roman" w:cs="Times New Roman"/>
          <w:b/>
          <w:bCs/>
          <w:i w:val="0"/>
          <w:iCs w:val="0"/>
          <w:color w:val="auto"/>
          <w:sz w:val="22"/>
          <w:szCs w:val="22"/>
        </w:rPr>
        <w:t xml:space="preserve"> județul Tulcea </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51"/>
        <w:gridCol w:w="2336"/>
        <w:gridCol w:w="1432"/>
        <w:gridCol w:w="1725"/>
      </w:tblGrid>
      <w:tr w:rsidR="00AF66BB" w:rsidRPr="007D3D4F" w14:paraId="2F04F49B" w14:textId="77777777" w:rsidTr="004604FA">
        <w:trPr>
          <w:tblHeader/>
          <w:jc w:val="center"/>
        </w:trPr>
        <w:tc>
          <w:tcPr>
            <w:tcW w:w="2061" w:type="pct"/>
            <w:shd w:val="clear" w:color="auto" w:fill="3B3838" w:themeFill="background2" w:themeFillShade="40"/>
            <w:vAlign w:val="center"/>
          </w:tcPr>
          <w:p w14:paraId="42C24B2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50" w:type="pct"/>
            <w:shd w:val="clear" w:color="auto" w:fill="3B3838" w:themeFill="background2" w:themeFillShade="40"/>
            <w:vAlign w:val="center"/>
          </w:tcPr>
          <w:p w14:paraId="32CA15F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Beneficiar</w:t>
            </w:r>
          </w:p>
        </w:tc>
        <w:tc>
          <w:tcPr>
            <w:tcW w:w="766" w:type="pct"/>
            <w:shd w:val="clear" w:color="auto" w:fill="3B3838" w:themeFill="background2" w:themeFillShade="40"/>
            <w:vAlign w:val="center"/>
          </w:tcPr>
          <w:p w14:paraId="0DB8CBA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23" w:type="pct"/>
            <w:shd w:val="clear" w:color="auto" w:fill="3B3838" w:themeFill="background2" w:themeFillShade="40"/>
            <w:vAlign w:val="center"/>
          </w:tcPr>
          <w:p w14:paraId="05692D8C"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2346DAC6" w14:textId="77777777" w:rsidTr="004604FA">
        <w:trPr>
          <w:jc w:val="center"/>
        </w:trPr>
        <w:tc>
          <w:tcPr>
            <w:tcW w:w="2061" w:type="pct"/>
            <w:shd w:val="clear" w:color="auto" w:fill="E7E6E6" w:themeFill="background2"/>
            <w:vAlign w:val="center"/>
          </w:tcPr>
          <w:p w14:paraId="6C28A03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Apărări de maluri pe canalul Sulina-etapa finală</w:t>
            </w:r>
          </w:p>
        </w:tc>
        <w:tc>
          <w:tcPr>
            <w:tcW w:w="1250" w:type="pct"/>
            <w:shd w:val="clear" w:color="auto" w:fill="E7E6E6" w:themeFill="background2"/>
            <w:vAlign w:val="center"/>
          </w:tcPr>
          <w:p w14:paraId="6D9864B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Regia Autonomă Administrația Fluvială a Dunării de Jos Galați</w:t>
            </w:r>
          </w:p>
        </w:tc>
        <w:tc>
          <w:tcPr>
            <w:tcW w:w="766" w:type="pct"/>
            <w:shd w:val="clear" w:color="auto" w:fill="E7E6E6" w:themeFill="background2"/>
            <w:vAlign w:val="center"/>
          </w:tcPr>
          <w:p w14:paraId="0A5D3DA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923" w:type="pct"/>
            <w:shd w:val="clear" w:color="auto" w:fill="E7E6E6" w:themeFill="background2"/>
            <w:vAlign w:val="center"/>
          </w:tcPr>
          <w:p w14:paraId="3613739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21.468.253,36</w:t>
            </w:r>
          </w:p>
        </w:tc>
      </w:tr>
      <w:tr w:rsidR="00AF66BB" w:rsidRPr="007D3D4F" w14:paraId="3EBC5086" w14:textId="77777777" w:rsidTr="004604FA">
        <w:trPr>
          <w:jc w:val="center"/>
        </w:trPr>
        <w:tc>
          <w:tcPr>
            <w:tcW w:w="2061" w:type="pct"/>
            <w:shd w:val="clear" w:color="auto" w:fill="E7E6E6" w:themeFill="background2"/>
            <w:vAlign w:val="center"/>
          </w:tcPr>
          <w:p w14:paraId="7043B31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Dezvoltare Port Tulcea Etapa 1</w:t>
            </w:r>
          </w:p>
        </w:tc>
        <w:tc>
          <w:tcPr>
            <w:tcW w:w="1250" w:type="pct"/>
            <w:shd w:val="clear" w:color="auto" w:fill="E7E6E6" w:themeFill="background2"/>
            <w:vAlign w:val="center"/>
          </w:tcPr>
          <w:p w14:paraId="703B9A4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Compania Națională Administrația Porturilor Dunării Maritime SA</w:t>
            </w:r>
          </w:p>
        </w:tc>
        <w:tc>
          <w:tcPr>
            <w:tcW w:w="766" w:type="pct"/>
            <w:shd w:val="clear" w:color="auto" w:fill="E7E6E6" w:themeFill="background2"/>
            <w:vAlign w:val="center"/>
          </w:tcPr>
          <w:p w14:paraId="3999A25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923" w:type="pct"/>
            <w:shd w:val="clear" w:color="auto" w:fill="E7E6E6" w:themeFill="background2"/>
            <w:vAlign w:val="center"/>
          </w:tcPr>
          <w:p w14:paraId="55F54DF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11.438.833,16</w:t>
            </w:r>
          </w:p>
        </w:tc>
      </w:tr>
      <w:tr w:rsidR="00AF66BB" w:rsidRPr="007D3D4F" w14:paraId="165C428D" w14:textId="77777777" w:rsidTr="004604FA">
        <w:trPr>
          <w:jc w:val="center"/>
        </w:trPr>
        <w:tc>
          <w:tcPr>
            <w:tcW w:w="2061" w:type="pct"/>
            <w:shd w:val="clear" w:color="auto" w:fill="E7E6E6" w:themeFill="background2"/>
            <w:vAlign w:val="center"/>
          </w:tcPr>
          <w:p w14:paraId="5969F81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Modernizarea Portului Sulina Perimetrul I - Zona Liberă</w:t>
            </w:r>
          </w:p>
        </w:tc>
        <w:tc>
          <w:tcPr>
            <w:tcW w:w="1250" w:type="pct"/>
            <w:shd w:val="clear" w:color="auto" w:fill="E7E6E6" w:themeFill="background2"/>
            <w:vAlign w:val="center"/>
          </w:tcPr>
          <w:p w14:paraId="515ED11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Administrația Zonei Libere Sulina RA</w:t>
            </w:r>
          </w:p>
        </w:tc>
        <w:tc>
          <w:tcPr>
            <w:tcW w:w="766" w:type="pct"/>
            <w:shd w:val="clear" w:color="auto" w:fill="E7E6E6" w:themeFill="background2"/>
            <w:vAlign w:val="center"/>
          </w:tcPr>
          <w:p w14:paraId="3D8901B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923" w:type="pct"/>
            <w:shd w:val="clear" w:color="auto" w:fill="E7E6E6" w:themeFill="background2"/>
            <w:vAlign w:val="center"/>
          </w:tcPr>
          <w:p w14:paraId="4C132AC2" w14:textId="0CD21EB7" w:rsidR="00AF66BB" w:rsidRPr="007D3D4F" w:rsidRDefault="00565FE9" w:rsidP="004C072F">
            <w:pPr>
              <w:spacing w:before="120" w:after="120"/>
              <w:contextualSpacing/>
              <w:jc w:val="center"/>
              <w:rPr>
                <w:rFonts w:ascii="Times New Roman" w:hAnsi="Times New Roman" w:cs="Times New Roman"/>
                <w:sz w:val="20"/>
                <w:szCs w:val="20"/>
              </w:rPr>
            </w:pPr>
            <w:r w:rsidRPr="00565FE9">
              <w:rPr>
                <w:rFonts w:ascii="Times New Roman" w:hAnsi="Times New Roman" w:cs="Times New Roman"/>
                <w:sz w:val="20"/>
                <w:szCs w:val="20"/>
              </w:rPr>
              <w:t>87.578.669,80</w:t>
            </w:r>
          </w:p>
        </w:tc>
      </w:tr>
      <w:tr w:rsidR="00AF66BB" w:rsidRPr="007D3D4F" w14:paraId="18E54CA0" w14:textId="77777777" w:rsidTr="004604FA">
        <w:trPr>
          <w:jc w:val="center"/>
        </w:trPr>
        <w:tc>
          <w:tcPr>
            <w:tcW w:w="2061" w:type="pct"/>
            <w:shd w:val="clear" w:color="auto" w:fill="E7E6E6" w:themeFill="background2"/>
            <w:vAlign w:val="center"/>
          </w:tcPr>
          <w:p w14:paraId="6C71C82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Modernizarea Portului Sulina Cap Mol - Bazin Maritim - Perimetrul II - Etapa I</w:t>
            </w:r>
          </w:p>
        </w:tc>
        <w:tc>
          <w:tcPr>
            <w:tcW w:w="1250" w:type="pct"/>
            <w:shd w:val="clear" w:color="auto" w:fill="E7E6E6" w:themeFill="background2"/>
            <w:vAlign w:val="center"/>
          </w:tcPr>
          <w:p w14:paraId="641965F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Administrația Zonei Libere Sulina RA</w:t>
            </w:r>
          </w:p>
        </w:tc>
        <w:tc>
          <w:tcPr>
            <w:tcW w:w="766" w:type="pct"/>
            <w:shd w:val="clear" w:color="auto" w:fill="E7E6E6" w:themeFill="background2"/>
            <w:vAlign w:val="center"/>
          </w:tcPr>
          <w:p w14:paraId="3D69020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923" w:type="pct"/>
            <w:shd w:val="clear" w:color="auto" w:fill="E7E6E6" w:themeFill="background2"/>
            <w:vAlign w:val="center"/>
          </w:tcPr>
          <w:p w14:paraId="007EBB55" w14:textId="5E952790" w:rsidR="00AF66BB" w:rsidRPr="007D3D4F" w:rsidRDefault="00565FE9" w:rsidP="004C072F">
            <w:pPr>
              <w:spacing w:before="120" w:after="120"/>
              <w:contextualSpacing/>
              <w:jc w:val="center"/>
              <w:rPr>
                <w:rFonts w:ascii="Times New Roman" w:hAnsi="Times New Roman" w:cs="Times New Roman"/>
                <w:sz w:val="20"/>
                <w:szCs w:val="20"/>
              </w:rPr>
            </w:pPr>
            <w:r w:rsidRPr="00565FE9">
              <w:rPr>
                <w:rFonts w:ascii="Times New Roman" w:hAnsi="Times New Roman" w:cs="Times New Roman"/>
                <w:sz w:val="20"/>
                <w:szCs w:val="20"/>
              </w:rPr>
              <w:t>135.567.669,80</w:t>
            </w:r>
          </w:p>
        </w:tc>
      </w:tr>
      <w:tr w:rsidR="00AF66BB" w:rsidRPr="007D3D4F" w14:paraId="4CFC40B3" w14:textId="77777777" w:rsidTr="004604FA">
        <w:trPr>
          <w:jc w:val="center"/>
        </w:trPr>
        <w:tc>
          <w:tcPr>
            <w:tcW w:w="2061" w:type="pct"/>
            <w:shd w:val="clear" w:color="auto" w:fill="E7E6E6" w:themeFill="background2"/>
            <w:vAlign w:val="center"/>
          </w:tcPr>
          <w:p w14:paraId="2FB9581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Dezvoltare Port Macin</w:t>
            </w:r>
          </w:p>
        </w:tc>
        <w:tc>
          <w:tcPr>
            <w:tcW w:w="1250" w:type="pct"/>
            <w:shd w:val="clear" w:color="auto" w:fill="E7E6E6" w:themeFill="background2"/>
            <w:vAlign w:val="center"/>
          </w:tcPr>
          <w:p w14:paraId="74743D2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Compania Națională Administrația Porturilor Dunării Maritime SA</w:t>
            </w:r>
          </w:p>
        </w:tc>
        <w:tc>
          <w:tcPr>
            <w:tcW w:w="766" w:type="pct"/>
            <w:shd w:val="clear" w:color="auto" w:fill="E7E6E6" w:themeFill="background2"/>
            <w:vAlign w:val="center"/>
          </w:tcPr>
          <w:p w14:paraId="2A5B19D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Transport naval</w:t>
            </w:r>
          </w:p>
        </w:tc>
        <w:tc>
          <w:tcPr>
            <w:tcW w:w="923" w:type="pct"/>
            <w:shd w:val="clear" w:color="auto" w:fill="E7E6E6" w:themeFill="background2"/>
            <w:vAlign w:val="center"/>
          </w:tcPr>
          <w:p w14:paraId="03FAF10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4.532.752,77</w:t>
            </w:r>
          </w:p>
        </w:tc>
      </w:tr>
      <w:tr w:rsidR="00AF66BB" w:rsidRPr="007D3D4F" w14:paraId="4FECBE97" w14:textId="77777777" w:rsidTr="004604FA">
        <w:trPr>
          <w:jc w:val="center"/>
        </w:trPr>
        <w:tc>
          <w:tcPr>
            <w:tcW w:w="4077" w:type="pct"/>
            <w:gridSpan w:val="3"/>
            <w:shd w:val="clear" w:color="auto" w:fill="767171" w:themeFill="background2" w:themeFillShade="80"/>
            <w:vAlign w:val="center"/>
          </w:tcPr>
          <w:p w14:paraId="044AF99C" w14:textId="77777777" w:rsidR="00AF66BB" w:rsidRPr="004604FA" w:rsidRDefault="00AF66BB" w:rsidP="004C072F">
            <w:pPr>
              <w:spacing w:before="120" w:after="120"/>
              <w:contextualSpacing/>
              <w:jc w:val="center"/>
              <w:rPr>
                <w:rFonts w:ascii="Times New Roman" w:hAnsi="Times New Roman" w:cs="Times New Roman"/>
                <w:b/>
                <w:bCs/>
                <w:color w:val="FFFFFF" w:themeColor="background1"/>
                <w:sz w:val="20"/>
                <w:szCs w:val="20"/>
              </w:rPr>
            </w:pPr>
            <w:r w:rsidRPr="004604FA">
              <w:rPr>
                <w:rFonts w:ascii="Times New Roman" w:hAnsi="Times New Roman" w:cs="Times New Roman"/>
                <w:b/>
                <w:bCs/>
                <w:color w:val="FFFFFF" w:themeColor="background1"/>
                <w:sz w:val="20"/>
                <w:szCs w:val="20"/>
              </w:rPr>
              <w:t>Total</w:t>
            </w:r>
          </w:p>
        </w:tc>
        <w:tc>
          <w:tcPr>
            <w:tcW w:w="923" w:type="pct"/>
            <w:shd w:val="clear" w:color="auto" w:fill="767171" w:themeFill="background2" w:themeFillShade="80"/>
            <w:vAlign w:val="center"/>
          </w:tcPr>
          <w:p w14:paraId="4B567C56" w14:textId="77777777" w:rsidR="00AF66BB" w:rsidRPr="004604FA" w:rsidRDefault="00AF66BB" w:rsidP="004C072F">
            <w:pPr>
              <w:spacing w:before="120" w:after="120"/>
              <w:contextualSpacing/>
              <w:jc w:val="center"/>
              <w:rPr>
                <w:rFonts w:ascii="Times New Roman" w:hAnsi="Times New Roman" w:cs="Times New Roman"/>
                <w:b/>
                <w:bCs/>
                <w:color w:val="FFFFFF" w:themeColor="background1"/>
                <w:sz w:val="20"/>
                <w:szCs w:val="20"/>
              </w:rPr>
            </w:pPr>
            <w:r w:rsidRPr="004604FA">
              <w:rPr>
                <w:rFonts w:ascii="Times New Roman" w:hAnsi="Times New Roman" w:cs="Times New Roman"/>
                <w:b/>
                <w:bCs/>
                <w:color w:val="FFFFFF" w:themeColor="background1"/>
                <w:sz w:val="20"/>
                <w:szCs w:val="20"/>
              </w:rPr>
              <w:t>43.860.530,44</w:t>
            </w:r>
          </w:p>
        </w:tc>
      </w:tr>
    </w:tbl>
    <w:p w14:paraId="48588E68"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085C06AC"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În analiza proiectelor finanțate prin POIM este importantă și evidențierea inițiativelor care, deși au fost planificate și contractate, au fost ulterior reziliate, încetate prin acordul părților sau revocate. Aceste cazuri pot evidenția dificultăți administrative, schimbări de priorități sau alte constrângeri apărute în etapa de implementare.</w:t>
      </w:r>
    </w:p>
    <w:p w14:paraId="4D78B49F" w14:textId="0299661D"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9</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reziliate/încetate cu acordul părților/revocate</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51"/>
        <w:gridCol w:w="2336"/>
        <w:gridCol w:w="1432"/>
        <w:gridCol w:w="1725"/>
      </w:tblGrid>
      <w:tr w:rsidR="00AF66BB" w:rsidRPr="007D3D4F" w14:paraId="1C1E46F0" w14:textId="77777777" w:rsidTr="004604FA">
        <w:trPr>
          <w:jc w:val="center"/>
        </w:trPr>
        <w:tc>
          <w:tcPr>
            <w:tcW w:w="2061" w:type="pct"/>
            <w:shd w:val="clear" w:color="auto" w:fill="3B3838" w:themeFill="background2" w:themeFillShade="40"/>
            <w:vAlign w:val="center"/>
          </w:tcPr>
          <w:p w14:paraId="2AB6242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50" w:type="pct"/>
            <w:shd w:val="clear" w:color="auto" w:fill="3B3838" w:themeFill="background2" w:themeFillShade="40"/>
            <w:vAlign w:val="center"/>
          </w:tcPr>
          <w:p w14:paraId="2896F28C"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Beneficiar</w:t>
            </w:r>
          </w:p>
        </w:tc>
        <w:tc>
          <w:tcPr>
            <w:tcW w:w="766" w:type="pct"/>
            <w:shd w:val="clear" w:color="auto" w:fill="3B3838" w:themeFill="background2" w:themeFillShade="40"/>
            <w:vAlign w:val="center"/>
          </w:tcPr>
          <w:p w14:paraId="41E3A5AC"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23" w:type="pct"/>
            <w:shd w:val="clear" w:color="auto" w:fill="3B3838" w:themeFill="background2" w:themeFillShade="40"/>
            <w:vAlign w:val="center"/>
          </w:tcPr>
          <w:p w14:paraId="555795E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1F8472C6" w14:textId="77777777" w:rsidTr="004604FA">
        <w:trPr>
          <w:jc w:val="center"/>
        </w:trPr>
        <w:tc>
          <w:tcPr>
            <w:tcW w:w="2061" w:type="pct"/>
            <w:shd w:val="clear" w:color="auto" w:fill="E7E6E6" w:themeFill="background2"/>
            <w:vAlign w:val="center"/>
          </w:tcPr>
          <w:p w14:paraId="5094295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Elaborare Studiu de fezabilitate și Proiect Tehnic de Execuție pentru obiectivul Drum Expres Brăila (Jijila) - Tulcea (Cataloi)</w:t>
            </w:r>
          </w:p>
        </w:tc>
        <w:tc>
          <w:tcPr>
            <w:tcW w:w="1250" w:type="pct"/>
            <w:shd w:val="clear" w:color="auto" w:fill="E7E6E6" w:themeFill="background2"/>
            <w:vAlign w:val="center"/>
          </w:tcPr>
          <w:p w14:paraId="5F04069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CNAIR</w:t>
            </w:r>
          </w:p>
        </w:tc>
        <w:tc>
          <w:tcPr>
            <w:tcW w:w="766" w:type="pct"/>
            <w:shd w:val="clear" w:color="auto" w:fill="E7E6E6" w:themeFill="background2"/>
            <w:vAlign w:val="center"/>
          </w:tcPr>
          <w:p w14:paraId="387DA9F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23" w:type="pct"/>
            <w:shd w:val="clear" w:color="auto" w:fill="E7E6E6" w:themeFill="background2"/>
            <w:vAlign w:val="center"/>
          </w:tcPr>
          <w:p w14:paraId="47EE642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17.509.423,36</w:t>
            </w:r>
          </w:p>
        </w:tc>
      </w:tr>
    </w:tbl>
    <w:p w14:paraId="3733EA86"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5DB8F34A"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Proiectul de elaborare a studiului de fezabilitate și a proiectului tehnic pentru Drumul Expres Brăila (Jijila) – Tulcea (Cataloi), deși strategic pentru conectivitatea județului, a fost reziliat înainte de finalizare. Această situație evidențiază nevoia unui cadru mai stabil de planificare și implementare pentru proiectele de infrastructură majoră, mai ales în cazul obiectivelor considerate esențiale pentru mobilitatea regională.</w:t>
      </w:r>
    </w:p>
    <w:p w14:paraId="1B5A4B35" w14:textId="77777777" w:rsidR="00AF66BB" w:rsidRPr="007D3D4F" w:rsidRDefault="00AF66BB" w:rsidP="004C072F">
      <w:pPr>
        <w:shd w:val="clear" w:color="auto" w:fill="FFF2CC" w:themeFill="accent4" w:themeFillTint="33"/>
        <w:spacing w:before="120" w:after="120" w:line="240" w:lineRule="auto"/>
        <w:contextualSpacing/>
        <w:jc w:val="both"/>
        <w:rPr>
          <w:rFonts w:ascii="Times New Roman" w:hAnsi="Times New Roman" w:cs="Times New Roman"/>
          <w:b/>
          <w:bCs/>
        </w:rPr>
      </w:pPr>
      <w:r w:rsidRPr="007D3D4F">
        <w:rPr>
          <w:rFonts w:ascii="Times New Roman" w:hAnsi="Times New Roman" w:cs="Times New Roman"/>
          <w:b/>
          <w:bCs/>
        </w:rPr>
        <w:t>Programul Operațional Comun Romania – Ucraina 2014-2020</w:t>
      </w:r>
    </w:p>
    <w:p w14:paraId="7203E440" w14:textId="77777777" w:rsidR="00AF66BB" w:rsidRPr="007D3D4F" w:rsidRDefault="00AF66BB" w:rsidP="004C072F">
      <w:pPr>
        <w:spacing w:before="120" w:after="120" w:line="240" w:lineRule="auto"/>
        <w:contextualSpacing/>
        <w:jc w:val="both"/>
        <w:rPr>
          <w:rFonts w:ascii="Times New Roman" w:hAnsi="Times New Roman" w:cs="Times New Roman"/>
          <w:b/>
          <w:bCs/>
        </w:rPr>
      </w:pPr>
      <w:r w:rsidRPr="007D3D4F">
        <w:rPr>
          <w:rFonts w:ascii="Times New Roman" w:hAnsi="Times New Roman" w:cs="Times New Roman"/>
          <w:b/>
          <w:bCs/>
        </w:rPr>
        <w:t>EFIGE – Ansamblu transfrontalier. Confluențe de patrimoniu la Dunăre - Ponton Expozițional</w:t>
      </w:r>
    </w:p>
    <w:p w14:paraId="1A586DB4" w14:textId="77777777" w:rsidR="00AF66BB" w:rsidRPr="007D3D4F" w:rsidRDefault="00AF66BB" w:rsidP="00D81598">
      <w:pPr>
        <w:pStyle w:val="Listparagraf"/>
        <w:numPr>
          <w:ilvl w:val="0"/>
          <w:numId w:val="19"/>
        </w:numPr>
        <w:spacing w:before="120" w:after="120" w:line="240" w:lineRule="auto"/>
        <w:jc w:val="both"/>
        <w:rPr>
          <w:rFonts w:ascii="Times New Roman" w:hAnsi="Times New Roman" w:cs="Times New Roman"/>
        </w:rPr>
      </w:pPr>
      <w:r w:rsidRPr="007D3D4F">
        <w:rPr>
          <w:rFonts w:ascii="Times New Roman" w:hAnsi="Times New Roman" w:cs="Times New Roman"/>
        </w:rPr>
        <w:t>Beneficiar : UAT Județul Tulcea – în parteneriat cu FLAG Tulcea, FLAG Galati, Comitetul Executiv al Orașului Izmail;</w:t>
      </w:r>
    </w:p>
    <w:p w14:paraId="4D754F02" w14:textId="77777777" w:rsidR="00AF66BB" w:rsidRPr="007D3D4F" w:rsidRDefault="00AF66BB" w:rsidP="00D81598">
      <w:pPr>
        <w:pStyle w:val="Listparagraf"/>
        <w:numPr>
          <w:ilvl w:val="0"/>
          <w:numId w:val="19"/>
        </w:numPr>
        <w:spacing w:before="120" w:after="120" w:line="240" w:lineRule="auto"/>
        <w:jc w:val="both"/>
        <w:rPr>
          <w:rFonts w:ascii="Times New Roman" w:hAnsi="Times New Roman" w:cs="Times New Roman"/>
        </w:rPr>
      </w:pPr>
      <w:r w:rsidRPr="007D3D4F">
        <w:rPr>
          <w:rFonts w:ascii="Times New Roman" w:hAnsi="Times New Roman" w:cs="Times New Roman"/>
        </w:rPr>
        <w:t>Valoare proiect: 1.109.018 Euro</w:t>
      </w:r>
    </w:p>
    <w:p w14:paraId="2864D78B" w14:textId="77777777" w:rsidR="00AF66BB" w:rsidRPr="007D3D4F" w:rsidRDefault="00AF66BB" w:rsidP="00D81598">
      <w:pPr>
        <w:pStyle w:val="Listparagraf"/>
        <w:numPr>
          <w:ilvl w:val="0"/>
          <w:numId w:val="19"/>
        </w:numPr>
        <w:spacing w:before="120" w:after="120" w:line="240" w:lineRule="auto"/>
        <w:jc w:val="both"/>
        <w:rPr>
          <w:rFonts w:ascii="Times New Roman" w:hAnsi="Times New Roman" w:cs="Times New Roman"/>
        </w:rPr>
      </w:pPr>
      <w:r w:rsidRPr="007D3D4F">
        <w:rPr>
          <w:rFonts w:ascii="Times New Roman" w:hAnsi="Times New Roman" w:cs="Times New Roman"/>
        </w:rPr>
        <w:t>Buget CJ Tulcea: 537.000 Euro</w:t>
      </w:r>
    </w:p>
    <w:p w14:paraId="3FADC4D7" w14:textId="77777777" w:rsidR="00AF66BB" w:rsidRPr="007D3D4F" w:rsidRDefault="00AF66BB" w:rsidP="00D81598">
      <w:pPr>
        <w:pStyle w:val="Listparagraf"/>
        <w:numPr>
          <w:ilvl w:val="0"/>
          <w:numId w:val="19"/>
        </w:numPr>
        <w:spacing w:before="120" w:after="120" w:line="240" w:lineRule="auto"/>
        <w:jc w:val="both"/>
        <w:rPr>
          <w:rFonts w:ascii="Times New Roman" w:hAnsi="Times New Roman" w:cs="Times New Roman"/>
        </w:rPr>
      </w:pPr>
      <w:r w:rsidRPr="007D3D4F">
        <w:rPr>
          <w:rFonts w:ascii="Times New Roman" w:hAnsi="Times New Roman" w:cs="Times New Roman"/>
        </w:rPr>
        <w:t>Stadiul proiectului: Finalizat (perioada 07.02.2020-07.04.2023)</w:t>
      </w:r>
    </w:p>
    <w:p w14:paraId="086541AD" w14:textId="77777777" w:rsidR="00AF66BB" w:rsidRPr="007D3D4F" w:rsidRDefault="00AF66BB" w:rsidP="00D81598">
      <w:pPr>
        <w:pStyle w:val="Listparagraf"/>
        <w:numPr>
          <w:ilvl w:val="0"/>
          <w:numId w:val="19"/>
        </w:numPr>
        <w:spacing w:before="120" w:after="120" w:line="240" w:lineRule="auto"/>
        <w:jc w:val="both"/>
        <w:rPr>
          <w:rFonts w:ascii="Times New Roman" w:hAnsi="Times New Roman" w:cs="Times New Roman"/>
        </w:rPr>
      </w:pPr>
      <w:r w:rsidRPr="007D3D4F">
        <w:rPr>
          <w:rFonts w:ascii="Times New Roman" w:hAnsi="Times New Roman" w:cs="Times New Roman"/>
        </w:rPr>
        <w:t>Perioada durabilitate (2023-2028)</w:t>
      </w:r>
    </w:p>
    <w:p w14:paraId="2F954DF5"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CBC Connect Trans “Trecere frontieră Isaccea-Orlovka”</w:t>
      </w:r>
    </w:p>
    <w:p w14:paraId="0DDC8E1E" w14:textId="77777777" w:rsidR="00AF66BB" w:rsidRPr="007D3D4F" w:rsidRDefault="00AF66BB" w:rsidP="00D81598">
      <w:pPr>
        <w:pStyle w:val="Listparagraf"/>
        <w:numPr>
          <w:ilvl w:val="0"/>
          <w:numId w:val="20"/>
        </w:numPr>
        <w:spacing w:before="120" w:after="120" w:line="240" w:lineRule="auto"/>
        <w:jc w:val="both"/>
        <w:rPr>
          <w:rFonts w:ascii="Times New Roman" w:hAnsi="Times New Roman" w:cs="Times New Roman"/>
        </w:rPr>
      </w:pPr>
      <w:r w:rsidRPr="007D3D4F">
        <w:rPr>
          <w:rFonts w:ascii="Times New Roman" w:hAnsi="Times New Roman" w:cs="Times New Roman"/>
        </w:rPr>
        <w:t>Beneficiar: UAT Oraș Isaccea – lider, în parteneriat cu UAT Județul Tulcea, Primăria Orlovka (UA), Comitetul Executiv al Consiliului Orășenesc Izmail (UA)</w:t>
      </w:r>
    </w:p>
    <w:p w14:paraId="6144CDC4" w14:textId="77777777" w:rsidR="00AF66BB" w:rsidRPr="007D3D4F" w:rsidRDefault="00AF66BB" w:rsidP="00D81598">
      <w:pPr>
        <w:pStyle w:val="Listparagraf"/>
        <w:numPr>
          <w:ilvl w:val="0"/>
          <w:numId w:val="20"/>
        </w:numPr>
        <w:spacing w:before="120" w:after="120" w:line="240" w:lineRule="auto"/>
        <w:jc w:val="both"/>
        <w:rPr>
          <w:rFonts w:ascii="Times New Roman" w:hAnsi="Times New Roman" w:cs="Times New Roman"/>
        </w:rPr>
      </w:pPr>
      <w:r w:rsidRPr="007D3D4F">
        <w:rPr>
          <w:rFonts w:ascii="Times New Roman" w:hAnsi="Times New Roman" w:cs="Times New Roman"/>
        </w:rPr>
        <w:t>Valoare proiect: 2.297.548,41 Euro</w:t>
      </w:r>
    </w:p>
    <w:p w14:paraId="2796D33D" w14:textId="77777777" w:rsidR="00AF66BB" w:rsidRPr="007D3D4F" w:rsidRDefault="00AF66BB" w:rsidP="00D81598">
      <w:pPr>
        <w:pStyle w:val="Listparagraf"/>
        <w:numPr>
          <w:ilvl w:val="0"/>
          <w:numId w:val="20"/>
        </w:numPr>
        <w:spacing w:before="120" w:after="120" w:line="240" w:lineRule="auto"/>
        <w:jc w:val="both"/>
        <w:rPr>
          <w:rFonts w:ascii="Times New Roman" w:hAnsi="Times New Roman" w:cs="Times New Roman"/>
        </w:rPr>
      </w:pPr>
      <w:r w:rsidRPr="007D3D4F">
        <w:rPr>
          <w:rFonts w:ascii="Times New Roman" w:hAnsi="Times New Roman" w:cs="Times New Roman"/>
        </w:rPr>
        <w:lastRenderedPageBreak/>
        <w:t>Buget CJ Tulcea: 200.000 Euro</w:t>
      </w:r>
    </w:p>
    <w:p w14:paraId="60328860" w14:textId="77777777" w:rsidR="00AF66BB" w:rsidRPr="007D3D4F" w:rsidRDefault="00AF66BB" w:rsidP="00D81598">
      <w:pPr>
        <w:pStyle w:val="Listparagraf"/>
        <w:numPr>
          <w:ilvl w:val="0"/>
          <w:numId w:val="20"/>
        </w:numPr>
        <w:spacing w:before="120" w:after="120" w:line="240" w:lineRule="auto"/>
        <w:jc w:val="both"/>
        <w:rPr>
          <w:rFonts w:ascii="Times New Roman" w:hAnsi="Times New Roman" w:cs="Times New Roman"/>
        </w:rPr>
      </w:pPr>
      <w:r w:rsidRPr="007D3D4F">
        <w:rPr>
          <w:rFonts w:ascii="Times New Roman" w:hAnsi="Times New Roman" w:cs="Times New Roman"/>
        </w:rPr>
        <w:t>Stadiul proiectului: Finalizat (perioada 07.04.2021-31.12.2023)</w:t>
      </w:r>
    </w:p>
    <w:p w14:paraId="0DA6B414" w14:textId="77777777" w:rsidR="00AF66BB" w:rsidRDefault="00AF66BB" w:rsidP="00D81598">
      <w:pPr>
        <w:pStyle w:val="Listparagraf"/>
        <w:numPr>
          <w:ilvl w:val="0"/>
          <w:numId w:val="20"/>
        </w:numPr>
        <w:spacing w:before="120" w:after="120" w:line="240" w:lineRule="auto"/>
        <w:jc w:val="both"/>
        <w:rPr>
          <w:rFonts w:ascii="Times New Roman" w:hAnsi="Times New Roman" w:cs="Times New Roman"/>
        </w:rPr>
      </w:pPr>
      <w:r w:rsidRPr="007D3D4F">
        <w:rPr>
          <w:rFonts w:ascii="Times New Roman" w:hAnsi="Times New Roman" w:cs="Times New Roman"/>
        </w:rPr>
        <w:t>Perioada durabilitate (2023-2028)</w:t>
      </w:r>
    </w:p>
    <w:p w14:paraId="4F5717A4" w14:textId="77777777" w:rsidR="00AF66BB" w:rsidRPr="007D3D4F" w:rsidRDefault="00AF66BB" w:rsidP="004C072F">
      <w:pPr>
        <w:shd w:val="clear" w:color="auto" w:fill="FFF2CC" w:themeFill="accent4" w:themeFillTint="33"/>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 </w:t>
      </w:r>
      <w:r w:rsidRPr="007D3D4F">
        <w:rPr>
          <w:rFonts w:ascii="Times New Roman" w:hAnsi="Times New Roman" w:cs="Times New Roman"/>
          <w:b/>
          <w:bCs/>
        </w:rPr>
        <w:t>Programul Operațional Pentru Pescuit și Afaceri Maritime 2014-2020</w:t>
      </w:r>
    </w:p>
    <w:p w14:paraId="5B32C724"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Facilități de acostare pentru nave mici și ambarcațiuni în municipiul Tulcea – zona FALEZA</w:t>
      </w:r>
    </w:p>
    <w:p w14:paraId="460EA4BE" w14:textId="77777777" w:rsidR="00AF66BB" w:rsidRPr="007D3D4F" w:rsidRDefault="00AF66BB" w:rsidP="00D81598">
      <w:pPr>
        <w:pStyle w:val="Listparagraf"/>
        <w:numPr>
          <w:ilvl w:val="0"/>
          <w:numId w:val="21"/>
        </w:numPr>
        <w:spacing w:before="120" w:after="120" w:line="240" w:lineRule="auto"/>
        <w:jc w:val="both"/>
        <w:rPr>
          <w:rFonts w:ascii="Times New Roman" w:hAnsi="Times New Roman" w:cs="Times New Roman"/>
        </w:rPr>
      </w:pPr>
      <w:r w:rsidRPr="007D3D4F">
        <w:rPr>
          <w:rFonts w:ascii="Times New Roman" w:hAnsi="Times New Roman" w:cs="Times New Roman"/>
        </w:rPr>
        <w:t>Beneficiar: UAT - Județul Tulcea</w:t>
      </w:r>
    </w:p>
    <w:p w14:paraId="3AD2DFBF" w14:textId="77777777" w:rsidR="00AF66BB" w:rsidRPr="007D3D4F" w:rsidRDefault="00AF66BB" w:rsidP="00D81598">
      <w:pPr>
        <w:pStyle w:val="Listparagraf"/>
        <w:numPr>
          <w:ilvl w:val="0"/>
          <w:numId w:val="21"/>
        </w:numPr>
        <w:spacing w:before="120" w:after="120" w:line="240" w:lineRule="auto"/>
        <w:jc w:val="both"/>
        <w:rPr>
          <w:rFonts w:ascii="Times New Roman" w:hAnsi="Times New Roman" w:cs="Times New Roman"/>
        </w:rPr>
      </w:pPr>
      <w:r w:rsidRPr="007D3D4F">
        <w:rPr>
          <w:rFonts w:ascii="Times New Roman" w:hAnsi="Times New Roman" w:cs="Times New Roman"/>
        </w:rPr>
        <w:t>Valoare totala: 2.616.094,86 lei cu TVA</w:t>
      </w:r>
    </w:p>
    <w:p w14:paraId="46DE6A3E" w14:textId="77777777" w:rsidR="00AF66BB" w:rsidRPr="007D3D4F" w:rsidRDefault="00AF66BB" w:rsidP="00D81598">
      <w:pPr>
        <w:pStyle w:val="Listparagraf"/>
        <w:numPr>
          <w:ilvl w:val="0"/>
          <w:numId w:val="21"/>
        </w:numPr>
        <w:spacing w:before="120" w:after="120" w:line="240" w:lineRule="auto"/>
        <w:jc w:val="both"/>
        <w:rPr>
          <w:rFonts w:ascii="Times New Roman" w:hAnsi="Times New Roman" w:cs="Times New Roman"/>
        </w:rPr>
      </w:pPr>
      <w:r w:rsidRPr="007D3D4F">
        <w:rPr>
          <w:rFonts w:ascii="Times New Roman" w:hAnsi="Times New Roman" w:cs="Times New Roman"/>
        </w:rPr>
        <w:t>Stadiul proiectului: Finalizat (perioada 21.05.2019-21.01.2021)</w:t>
      </w:r>
    </w:p>
    <w:p w14:paraId="5D9EADC7" w14:textId="77777777" w:rsidR="00AF66BB" w:rsidRPr="007D3D4F" w:rsidRDefault="00AF66BB" w:rsidP="00D81598">
      <w:pPr>
        <w:pStyle w:val="Listparagraf"/>
        <w:numPr>
          <w:ilvl w:val="0"/>
          <w:numId w:val="21"/>
        </w:numPr>
        <w:spacing w:before="120" w:after="120" w:line="240" w:lineRule="auto"/>
        <w:jc w:val="both"/>
        <w:rPr>
          <w:rFonts w:ascii="Times New Roman" w:hAnsi="Times New Roman" w:cs="Times New Roman"/>
        </w:rPr>
      </w:pPr>
      <w:r w:rsidRPr="007D3D4F">
        <w:rPr>
          <w:rFonts w:ascii="Times New Roman" w:hAnsi="Times New Roman" w:cs="Times New Roman"/>
        </w:rPr>
        <w:t>Perioada durabilitate (2021-2026)</w:t>
      </w:r>
    </w:p>
    <w:p w14:paraId="2B7DA2A8" w14:textId="77777777" w:rsidR="00AF66BB" w:rsidRPr="007D3D4F" w:rsidRDefault="00AF66BB" w:rsidP="004C072F">
      <w:pPr>
        <w:shd w:val="clear" w:color="auto" w:fill="FFF2CC" w:themeFill="accent4" w:themeFillTint="33"/>
        <w:spacing w:before="120" w:after="120" w:line="240" w:lineRule="auto"/>
        <w:contextualSpacing/>
        <w:jc w:val="both"/>
        <w:rPr>
          <w:rFonts w:ascii="Times New Roman" w:hAnsi="Times New Roman" w:cs="Times New Roman"/>
          <w:b/>
          <w:bCs/>
        </w:rPr>
      </w:pPr>
      <w:r w:rsidRPr="007D3D4F">
        <w:rPr>
          <w:rFonts w:ascii="Times New Roman" w:hAnsi="Times New Roman" w:cs="Times New Roman"/>
          <w:b/>
          <w:bCs/>
        </w:rPr>
        <w:t>Programul Operațional Regional 2014-2020</w:t>
      </w:r>
    </w:p>
    <w:p w14:paraId="0DD5C813"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Programul Operațional Regional (POR) 2014–2020 a finanțat o serie de investiții relevante pentru dezvoltarea transportului la nivel local și regional în județul Tulcea. Acestea au vizat, în principal, modernizarea infrastructurii rutiere județene și dezvoltarea serviciilor de transport public urban, precum și facilități specifice transportului naval în zonele deltaice. </w:t>
      </w:r>
    </w:p>
    <w:p w14:paraId="5D69277D"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Proiectele pot fi grupate tematic astfel:</w:t>
      </w:r>
    </w:p>
    <w:p w14:paraId="261CD528" w14:textId="77777777" w:rsidR="00AF66BB" w:rsidRPr="007D3D4F" w:rsidRDefault="00AF66BB" w:rsidP="00D81598">
      <w:pPr>
        <w:pStyle w:val="Listparagraf"/>
        <w:numPr>
          <w:ilvl w:val="0"/>
          <w:numId w:val="14"/>
        </w:numPr>
        <w:spacing w:before="120" w:after="120" w:line="240" w:lineRule="auto"/>
        <w:jc w:val="both"/>
        <w:rPr>
          <w:rFonts w:ascii="Times New Roman" w:hAnsi="Times New Roman" w:cs="Times New Roman"/>
        </w:rPr>
      </w:pPr>
      <w:bookmarkStart w:id="8" w:name="_Hlk202455029"/>
      <w:r w:rsidRPr="007D3D4F">
        <w:rPr>
          <w:rFonts w:ascii="Times New Roman" w:hAnsi="Times New Roman" w:cs="Times New Roman"/>
        </w:rPr>
        <w:t>proiecte pentru dezvoltarea transportului public urban</w:t>
      </w:r>
      <w:bookmarkEnd w:id="8"/>
      <w:r w:rsidRPr="007D3D4F">
        <w:rPr>
          <w:rFonts w:ascii="Times New Roman" w:hAnsi="Times New Roman" w:cs="Times New Roman"/>
        </w:rPr>
        <w:t>;</w:t>
      </w:r>
    </w:p>
    <w:p w14:paraId="3B2A24D7" w14:textId="77777777" w:rsidR="00AF66BB" w:rsidRPr="007D3D4F" w:rsidRDefault="00AF66BB" w:rsidP="00D81598">
      <w:pPr>
        <w:pStyle w:val="Listparagraf"/>
        <w:numPr>
          <w:ilvl w:val="0"/>
          <w:numId w:val="14"/>
        </w:numPr>
        <w:spacing w:before="120" w:after="120" w:line="240" w:lineRule="auto"/>
        <w:jc w:val="both"/>
        <w:rPr>
          <w:rFonts w:ascii="Times New Roman" w:hAnsi="Times New Roman" w:cs="Times New Roman"/>
        </w:rPr>
      </w:pPr>
      <w:r w:rsidRPr="007D3D4F">
        <w:rPr>
          <w:rFonts w:ascii="Times New Roman" w:hAnsi="Times New Roman" w:cs="Times New Roman"/>
        </w:rPr>
        <w:t>proiecte pentru dezvoltarea infrastructurii de transport rutier regional;</w:t>
      </w:r>
    </w:p>
    <w:p w14:paraId="5AD4269E" w14:textId="77777777" w:rsidR="00AF66BB" w:rsidRPr="007D3D4F" w:rsidRDefault="00AF66BB" w:rsidP="00D81598">
      <w:pPr>
        <w:pStyle w:val="Listparagraf"/>
        <w:numPr>
          <w:ilvl w:val="0"/>
          <w:numId w:val="14"/>
        </w:numPr>
        <w:spacing w:before="120" w:after="120" w:line="240" w:lineRule="auto"/>
        <w:jc w:val="both"/>
        <w:rPr>
          <w:rFonts w:ascii="Times New Roman" w:hAnsi="Times New Roman" w:cs="Times New Roman"/>
        </w:rPr>
      </w:pPr>
      <w:r w:rsidRPr="007D3D4F">
        <w:rPr>
          <w:rFonts w:ascii="Times New Roman" w:hAnsi="Times New Roman" w:cs="Times New Roman"/>
        </w:rPr>
        <w:t>proiecte pentru dezvoltarea transportului naval local.</w:t>
      </w:r>
    </w:p>
    <w:p w14:paraId="17DA656D"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Investițiile finanțate prin POR 2014–2020 în județul Tulcea au inclus un pachet semnificativ de proiecte dedicate dezvoltării transportului public urban durabil. Valoarea totală a acestora depășește 221 milioane lei, iar obiectivul comun a fost îmbunătățirea mobilității urbane, reducerea emisiilor de carbon și asigurarea accesului echitabil la servicii de transport public de calitate.</w:t>
      </w:r>
    </w:p>
    <w:p w14:paraId="3071BAE6" w14:textId="309A8C4C"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10</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prin Programul Operațional Regional (POR) 2014–2020 cu scopul de a dezvolta transportul public urban</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4549"/>
        <w:gridCol w:w="2758"/>
        <w:gridCol w:w="2037"/>
      </w:tblGrid>
      <w:tr w:rsidR="00AF66BB" w:rsidRPr="007D3D4F" w14:paraId="4BD41E45" w14:textId="77777777" w:rsidTr="004604FA">
        <w:trPr>
          <w:jc w:val="center"/>
        </w:trPr>
        <w:tc>
          <w:tcPr>
            <w:tcW w:w="2434" w:type="pct"/>
            <w:shd w:val="clear" w:color="auto" w:fill="3B3838" w:themeFill="background2" w:themeFillShade="40"/>
            <w:vAlign w:val="center"/>
          </w:tcPr>
          <w:p w14:paraId="161BDB2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476" w:type="pct"/>
            <w:shd w:val="clear" w:color="auto" w:fill="3B3838" w:themeFill="background2" w:themeFillShade="40"/>
            <w:vAlign w:val="center"/>
          </w:tcPr>
          <w:p w14:paraId="45B3399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Beneficiar</w:t>
            </w:r>
          </w:p>
        </w:tc>
        <w:tc>
          <w:tcPr>
            <w:tcW w:w="1090" w:type="pct"/>
            <w:shd w:val="clear" w:color="auto" w:fill="3B3838" w:themeFill="background2" w:themeFillShade="40"/>
            <w:vAlign w:val="center"/>
          </w:tcPr>
          <w:p w14:paraId="07B5283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6429B226" w14:textId="77777777" w:rsidTr="004604FA">
        <w:trPr>
          <w:jc w:val="center"/>
        </w:trPr>
        <w:tc>
          <w:tcPr>
            <w:tcW w:w="2434" w:type="pct"/>
            <w:shd w:val="clear" w:color="auto" w:fill="E7E6E6" w:themeFill="background2"/>
            <w:vAlign w:val="center"/>
          </w:tcPr>
          <w:p w14:paraId="239A0C9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Serviciu integrat de transport public urban în contextul dezvoltării durabile a orașului Macin</w:t>
            </w:r>
          </w:p>
        </w:tc>
        <w:tc>
          <w:tcPr>
            <w:tcW w:w="1476" w:type="pct"/>
            <w:shd w:val="clear" w:color="auto" w:fill="E7E6E6" w:themeFill="background2"/>
            <w:vAlign w:val="center"/>
          </w:tcPr>
          <w:p w14:paraId="67E0E5C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Unitatea Administrativ Teritoriala Oraș Macin</w:t>
            </w:r>
          </w:p>
        </w:tc>
        <w:tc>
          <w:tcPr>
            <w:tcW w:w="1090" w:type="pct"/>
            <w:shd w:val="clear" w:color="auto" w:fill="E7E6E6" w:themeFill="background2"/>
            <w:vAlign w:val="center"/>
          </w:tcPr>
          <w:p w14:paraId="39DCBC1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23.745.473</w:t>
            </w:r>
          </w:p>
        </w:tc>
      </w:tr>
      <w:tr w:rsidR="00AF66BB" w:rsidRPr="007D3D4F" w14:paraId="78326F1F" w14:textId="77777777" w:rsidTr="004604FA">
        <w:trPr>
          <w:jc w:val="center"/>
        </w:trPr>
        <w:tc>
          <w:tcPr>
            <w:tcW w:w="2434" w:type="pct"/>
            <w:shd w:val="clear" w:color="auto" w:fill="E7E6E6" w:themeFill="background2"/>
            <w:vAlign w:val="center"/>
          </w:tcPr>
          <w:p w14:paraId="2EA4412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Serviciu integrat de transport public urban în contextul dezvoltării durabile a orașului Sulina</w:t>
            </w:r>
          </w:p>
        </w:tc>
        <w:tc>
          <w:tcPr>
            <w:tcW w:w="1476" w:type="pct"/>
            <w:shd w:val="clear" w:color="auto" w:fill="E7E6E6" w:themeFill="background2"/>
            <w:vAlign w:val="center"/>
          </w:tcPr>
          <w:p w14:paraId="6E6578B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Unitatea Administrativ Teritoriala Orașul Sulina</w:t>
            </w:r>
          </w:p>
        </w:tc>
        <w:tc>
          <w:tcPr>
            <w:tcW w:w="1090" w:type="pct"/>
            <w:shd w:val="clear" w:color="auto" w:fill="E7E6E6" w:themeFill="background2"/>
            <w:vAlign w:val="center"/>
          </w:tcPr>
          <w:p w14:paraId="45D42F9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23.758.499</w:t>
            </w:r>
          </w:p>
        </w:tc>
      </w:tr>
      <w:tr w:rsidR="00AF66BB" w:rsidRPr="007D3D4F" w14:paraId="24123067" w14:textId="77777777" w:rsidTr="004604FA">
        <w:trPr>
          <w:jc w:val="center"/>
        </w:trPr>
        <w:tc>
          <w:tcPr>
            <w:tcW w:w="2434" w:type="pct"/>
            <w:shd w:val="clear" w:color="auto" w:fill="E7E6E6" w:themeFill="background2"/>
            <w:vAlign w:val="center"/>
          </w:tcPr>
          <w:p w14:paraId="41DDEC1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Serviciu integrat de transport public urban în contextul dezvoltării durabile a orașului Isaccea</w:t>
            </w:r>
          </w:p>
        </w:tc>
        <w:tc>
          <w:tcPr>
            <w:tcW w:w="1476" w:type="pct"/>
            <w:shd w:val="clear" w:color="auto" w:fill="E7E6E6" w:themeFill="background2"/>
            <w:vAlign w:val="center"/>
          </w:tcPr>
          <w:p w14:paraId="79B7746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Unitatea Administrativ Teritoriala Orașul Isaccea</w:t>
            </w:r>
          </w:p>
        </w:tc>
        <w:tc>
          <w:tcPr>
            <w:tcW w:w="1090" w:type="pct"/>
            <w:shd w:val="clear" w:color="auto" w:fill="E7E6E6" w:themeFill="background2"/>
            <w:vAlign w:val="center"/>
          </w:tcPr>
          <w:p w14:paraId="0DF8FD1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22.871.764</w:t>
            </w:r>
          </w:p>
        </w:tc>
      </w:tr>
      <w:tr w:rsidR="00AF66BB" w:rsidRPr="007D3D4F" w14:paraId="2DA302E7" w14:textId="77777777" w:rsidTr="004604FA">
        <w:trPr>
          <w:jc w:val="center"/>
        </w:trPr>
        <w:tc>
          <w:tcPr>
            <w:tcW w:w="2434" w:type="pct"/>
            <w:shd w:val="clear" w:color="auto" w:fill="E7E6E6" w:themeFill="background2"/>
            <w:vAlign w:val="center"/>
          </w:tcPr>
          <w:p w14:paraId="68D7991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Modernizarea parcului auto de transport calatori din municipiul Tulcea prin achiziționarea de vehicule nepoluante pentru transportul public</w:t>
            </w:r>
          </w:p>
        </w:tc>
        <w:tc>
          <w:tcPr>
            <w:tcW w:w="1476" w:type="pct"/>
            <w:shd w:val="clear" w:color="auto" w:fill="E7E6E6" w:themeFill="background2"/>
            <w:vAlign w:val="center"/>
          </w:tcPr>
          <w:p w14:paraId="3219C22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Unitatea Administrativ Teritoriala Municipiul Tulcea</w:t>
            </w:r>
          </w:p>
        </w:tc>
        <w:tc>
          <w:tcPr>
            <w:tcW w:w="1090" w:type="pct"/>
            <w:shd w:val="clear" w:color="auto" w:fill="E7E6E6" w:themeFill="background2"/>
            <w:vAlign w:val="center"/>
          </w:tcPr>
          <w:p w14:paraId="2139489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98.217.383</w:t>
            </w:r>
          </w:p>
        </w:tc>
      </w:tr>
      <w:tr w:rsidR="00AF66BB" w:rsidRPr="007D3D4F" w14:paraId="6F88F5CE" w14:textId="77777777" w:rsidTr="004604FA">
        <w:trPr>
          <w:jc w:val="center"/>
        </w:trPr>
        <w:tc>
          <w:tcPr>
            <w:tcW w:w="2434" w:type="pct"/>
            <w:shd w:val="clear" w:color="auto" w:fill="E7E6E6" w:themeFill="background2"/>
            <w:vAlign w:val="center"/>
          </w:tcPr>
          <w:p w14:paraId="61B3324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 xml:space="preserve">Serviciu integrat de transport public urban in contextul dezvoltării durabile a orașului Babadag prin accesarea POR </w:t>
            </w:r>
          </w:p>
        </w:tc>
        <w:tc>
          <w:tcPr>
            <w:tcW w:w="1476" w:type="pct"/>
            <w:shd w:val="clear" w:color="auto" w:fill="E7E6E6" w:themeFill="background2"/>
            <w:vAlign w:val="center"/>
          </w:tcPr>
          <w:p w14:paraId="329CD03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Unitatea Administrativ Teritoriala Oraș Babadag</w:t>
            </w:r>
          </w:p>
        </w:tc>
        <w:tc>
          <w:tcPr>
            <w:tcW w:w="1090" w:type="pct"/>
            <w:shd w:val="clear" w:color="auto" w:fill="E7E6E6" w:themeFill="background2"/>
            <w:vAlign w:val="center"/>
          </w:tcPr>
          <w:p w14:paraId="44EDBD6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23.758.147</w:t>
            </w:r>
          </w:p>
        </w:tc>
      </w:tr>
      <w:tr w:rsidR="00AF66BB" w:rsidRPr="007D3D4F" w14:paraId="06FB8E83" w14:textId="77777777" w:rsidTr="004604FA">
        <w:trPr>
          <w:jc w:val="center"/>
        </w:trPr>
        <w:tc>
          <w:tcPr>
            <w:tcW w:w="2434" w:type="pct"/>
            <w:shd w:val="clear" w:color="auto" w:fill="E7E6E6" w:themeFill="background2"/>
            <w:vAlign w:val="center"/>
          </w:tcPr>
          <w:p w14:paraId="744ADFA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Achiziție mijloace de transport public –autobuze electrice 10 m, Tulcea</w:t>
            </w:r>
          </w:p>
        </w:tc>
        <w:tc>
          <w:tcPr>
            <w:tcW w:w="1476" w:type="pct"/>
            <w:shd w:val="clear" w:color="auto" w:fill="E7E6E6" w:themeFill="background2"/>
            <w:vAlign w:val="center"/>
          </w:tcPr>
          <w:p w14:paraId="7773521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Ministerul Dezvoltării Regionale și Administrației Publice/Direcția Generală Dezvoltare Regională și Infrastructură</w:t>
            </w:r>
          </w:p>
        </w:tc>
        <w:tc>
          <w:tcPr>
            <w:tcW w:w="1090" w:type="pct"/>
            <w:shd w:val="clear" w:color="auto" w:fill="E7E6E6" w:themeFill="background2"/>
            <w:vAlign w:val="center"/>
          </w:tcPr>
          <w:p w14:paraId="1E21851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29.469.434</w:t>
            </w:r>
          </w:p>
        </w:tc>
      </w:tr>
      <w:tr w:rsidR="00AF66BB" w:rsidRPr="007D3D4F" w14:paraId="6DAEF5E8" w14:textId="77777777" w:rsidTr="004604FA">
        <w:trPr>
          <w:jc w:val="center"/>
        </w:trPr>
        <w:tc>
          <w:tcPr>
            <w:tcW w:w="3910" w:type="pct"/>
            <w:gridSpan w:val="2"/>
            <w:shd w:val="clear" w:color="auto" w:fill="E7E6E6" w:themeFill="background2"/>
            <w:vAlign w:val="center"/>
          </w:tcPr>
          <w:p w14:paraId="7B96F22E" w14:textId="77777777" w:rsidR="00AF66BB" w:rsidRPr="007D3D4F" w:rsidRDefault="00AF66BB" w:rsidP="004C072F">
            <w:pPr>
              <w:spacing w:before="120" w:after="12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Total</w:t>
            </w:r>
          </w:p>
        </w:tc>
        <w:tc>
          <w:tcPr>
            <w:tcW w:w="1090" w:type="pct"/>
            <w:shd w:val="clear" w:color="auto" w:fill="E7E6E6" w:themeFill="background2"/>
            <w:vAlign w:val="center"/>
          </w:tcPr>
          <w:p w14:paraId="68D5D08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221.820.702</w:t>
            </w:r>
          </w:p>
        </w:tc>
      </w:tr>
    </w:tbl>
    <w:p w14:paraId="6C1CBE10"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25B46486"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lastRenderedPageBreak/>
        <w:t xml:space="preserve">Conform datelor din tabelul de mai sus se observă faptul că: </w:t>
      </w:r>
    </w:p>
    <w:p w14:paraId="14813423" w14:textId="77777777" w:rsidR="00AF66BB" w:rsidRPr="007D3D4F" w:rsidRDefault="00AF66BB" w:rsidP="00D81598">
      <w:pPr>
        <w:pStyle w:val="Listparagraf"/>
        <w:numPr>
          <w:ilvl w:val="0"/>
          <w:numId w:val="15"/>
        </w:numPr>
        <w:spacing w:before="120" w:after="120" w:line="240" w:lineRule="auto"/>
        <w:jc w:val="both"/>
        <w:rPr>
          <w:rFonts w:ascii="Times New Roman" w:hAnsi="Times New Roman" w:cs="Times New Roman"/>
        </w:rPr>
      </w:pPr>
      <w:r w:rsidRPr="007D3D4F">
        <w:rPr>
          <w:rFonts w:ascii="Times New Roman" w:hAnsi="Times New Roman" w:cs="Times New Roman"/>
        </w:rPr>
        <w:t>proiectele au fost implementate în orașe cheie precum Măcin, Sulina, Isaccea și Babadag, dar și în municipiul Tulcea, indicând o abordare echilibrată între centrele urbane mari și cele mici;</w:t>
      </w:r>
    </w:p>
    <w:p w14:paraId="3BB9D2D2" w14:textId="77777777" w:rsidR="00AF66BB" w:rsidRPr="007D3D4F" w:rsidRDefault="00AF66BB" w:rsidP="00D81598">
      <w:pPr>
        <w:pStyle w:val="Listparagraf"/>
        <w:numPr>
          <w:ilvl w:val="0"/>
          <w:numId w:val="15"/>
        </w:numPr>
        <w:spacing w:before="120" w:after="120" w:line="240" w:lineRule="auto"/>
        <w:jc w:val="both"/>
        <w:rPr>
          <w:rFonts w:ascii="Times New Roman" w:hAnsi="Times New Roman" w:cs="Times New Roman"/>
        </w:rPr>
      </w:pPr>
      <w:r w:rsidRPr="007D3D4F">
        <w:rPr>
          <w:rFonts w:ascii="Times New Roman" w:hAnsi="Times New Roman" w:cs="Times New Roman"/>
        </w:rPr>
        <w:t>Municipiul Tulcea a atras cea mai mare parte din fonduri (peste 98 milioane lei), prin proiecte care vizează atât modernizarea parcului auto cu vehicule nepoluante, cât și achiziționarea de autobuze electrice, consolidându-și poziția de pol regional de mobilitate sustenabilă.</w:t>
      </w:r>
    </w:p>
    <w:p w14:paraId="62D98D4A"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Aceste proiecte contribuie în mod direct la crearea unui sistem de transport urban modern și eficient în județul Tulcea. Ele reprezintă o bază solidă pentru continuarea investițiilor în mobilitate urbană în perioada de programare 2021–2027 și ar putea fi completate cu măsuri de digitalizare, integrare tarifară și conectare la rețelele regionale de transport.</w:t>
      </w:r>
    </w:p>
    <w:p w14:paraId="4F0E4944"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Programul Operațional Regional 2014–2020 a susținut în județul Tulcea o serie de proiecte cu impact semnificativ asupra conectivității intra-județene și intercomunale, prin modernizarea unor rute de transport rutier regional esențiale. Valoarea totală a acestor investiții se ridică la peste 429 milioane lei, reflectând o direcție strategică de consolidare a legăturilor între localitățile rurale și centrele urbane, în vederea stimulării dezvoltării economice locale.</w:t>
      </w:r>
    </w:p>
    <w:p w14:paraId="721D996E" w14:textId="7E8C57B1"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11</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prin Programul Operațional Regional (POR) 2014–2020 cu scopul de a dezvolta infrastructura de transport rutier regional</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549"/>
        <w:gridCol w:w="2758"/>
        <w:gridCol w:w="2037"/>
      </w:tblGrid>
      <w:tr w:rsidR="00AF66BB" w:rsidRPr="007D3D4F" w14:paraId="35962C9D" w14:textId="77777777" w:rsidTr="004604FA">
        <w:trPr>
          <w:jc w:val="center"/>
        </w:trPr>
        <w:tc>
          <w:tcPr>
            <w:tcW w:w="2434" w:type="pct"/>
            <w:shd w:val="clear" w:color="auto" w:fill="3B3838" w:themeFill="background2" w:themeFillShade="40"/>
            <w:vAlign w:val="center"/>
          </w:tcPr>
          <w:p w14:paraId="7494081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476" w:type="pct"/>
            <w:shd w:val="clear" w:color="auto" w:fill="3B3838" w:themeFill="background2" w:themeFillShade="40"/>
            <w:vAlign w:val="center"/>
          </w:tcPr>
          <w:p w14:paraId="6E0779B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Beneficiar</w:t>
            </w:r>
          </w:p>
        </w:tc>
        <w:tc>
          <w:tcPr>
            <w:tcW w:w="1090" w:type="pct"/>
            <w:shd w:val="clear" w:color="auto" w:fill="3B3838" w:themeFill="background2" w:themeFillShade="40"/>
            <w:vAlign w:val="center"/>
          </w:tcPr>
          <w:p w14:paraId="2FD5BBE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5296ABE" w14:textId="77777777" w:rsidTr="004604FA">
        <w:trPr>
          <w:jc w:val="center"/>
        </w:trPr>
        <w:tc>
          <w:tcPr>
            <w:tcW w:w="2434" w:type="pct"/>
            <w:shd w:val="clear" w:color="auto" w:fill="E7E6E6" w:themeFill="background2"/>
            <w:vAlign w:val="center"/>
          </w:tcPr>
          <w:p w14:paraId="5D3A568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 xml:space="preserve">Modernizare infrastructura de transport regional pe traseul Valea Teilor-Nicolae Bălcescu </w:t>
            </w:r>
          </w:p>
        </w:tc>
        <w:tc>
          <w:tcPr>
            <w:tcW w:w="1476" w:type="pct"/>
            <w:shd w:val="clear" w:color="auto" w:fill="E7E6E6" w:themeFill="background2"/>
            <w:vAlign w:val="center"/>
          </w:tcPr>
          <w:p w14:paraId="22157A0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Parteneriat UAT Județul Tulcea</w:t>
            </w:r>
          </w:p>
        </w:tc>
        <w:tc>
          <w:tcPr>
            <w:tcW w:w="1090" w:type="pct"/>
            <w:shd w:val="clear" w:color="auto" w:fill="E7E6E6" w:themeFill="background2"/>
            <w:vAlign w:val="center"/>
          </w:tcPr>
          <w:p w14:paraId="2CF7B00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34.829.306</w:t>
            </w:r>
          </w:p>
        </w:tc>
      </w:tr>
      <w:tr w:rsidR="00AF66BB" w:rsidRPr="007D3D4F" w14:paraId="662E8151" w14:textId="77777777" w:rsidTr="004604FA">
        <w:trPr>
          <w:jc w:val="center"/>
        </w:trPr>
        <w:tc>
          <w:tcPr>
            <w:tcW w:w="2434" w:type="pct"/>
            <w:shd w:val="clear" w:color="auto" w:fill="E7E6E6" w:themeFill="background2"/>
            <w:vAlign w:val="center"/>
          </w:tcPr>
          <w:p w14:paraId="10F0BF3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 xml:space="preserve">Modernizare infrastructura de transport regional pe traseul Stejaru-Cerna </w:t>
            </w:r>
          </w:p>
        </w:tc>
        <w:tc>
          <w:tcPr>
            <w:tcW w:w="1476" w:type="pct"/>
            <w:shd w:val="clear" w:color="auto" w:fill="E7E6E6" w:themeFill="background2"/>
            <w:vAlign w:val="center"/>
          </w:tcPr>
          <w:p w14:paraId="7EE4395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UAT Județ Tulcea în parteneriat</w:t>
            </w:r>
          </w:p>
        </w:tc>
        <w:tc>
          <w:tcPr>
            <w:tcW w:w="1090" w:type="pct"/>
            <w:shd w:val="clear" w:color="auto" w:fill="E7E6E6" w:themeFill="background2"/>
            <w:vAlign w:val="center"/>
          </w:tcPr>
          <w:p w14:paraId="14784CF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98.134.680</w:t>
            </w:r>
          </w:p>
        </w:tc>
      </w:tr>
      <w:tr w:rsidR="00AF66BB" w:rsidRPr="007D3D4F" w14:paraId="262F9FC3" w14:textId="77777777" w:rsidTr="004604FA">
        <w:trPr>
          <w:jc w:val="center"/>
        </w:trPr>
        <w:tc>
          <w:tcPr>
            <w:tcW w:w="2434" w:type="pct"/>
            <w:shd w:val="clear" w:color="auto" w:fill="E7E6E6" w:themeFill="background2"/>
            <w:vAlign w:val="center"/>
          </w:tcPr>
          <w:p w14:paraId="2123E07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infrastructura de transport regional pe traseul Enisala-Babadag-Slava Rusa</w:t>
            </w:r>
          </w:p>
        </w:tc>
        <w:tc>
          <w:tcPr>
            <w:tcW w:w="1476" w:type="pct"/>
            <w:shd w:val="clear" w:color="auto" w:fill="E7E6E6" w:themeFill="background2"/>
            <w:vAlign w:val="center"/>
          </w:tcPr>
          <w:p w14:paraId="7867C9A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UAT Județ Tulcea în parteneriat</w:t>
            </w:r>
          </w:p>
        </w:tc>
        <w:tc>
          <w:tcPr>
            <w:tcW w:w="1090" w:type="pct"/>
            <w:shd w:val="clear" w:color="auto" w:fill="E7E6E6" w:themeFill="background2"/>
            <w:vAlign w:val="center"/>
          </w:tcPr>
          <w:p w14:paraId="40AF753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31.446.729</w:t>
            </w:r>
          </w:p>
        </w:tc>
      </w:tr>
      <w:tr w:rsidR="00AF66BB" w:rsidRPr="007D3D4F" w14:paraId="7E512199" w14:textId="77777777" w:rsidTr="004604FA">
        <w:trPr>
          <w:jc w:val="center"/>
        </w:trPr>
        <w:tc>
          <w:tcPr>
            <w:tcW w:w="2434" w:type="pct"/>
            <w:shd w:val="clear" w:color="auto" w:fill="E7E6E6" w:themeFill="background2"/>
            <w:vAlign w:val="center"/>
          </w:tcPr>
          <w:p w14:paraId="0C10AFD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infrastructura de transport regional pe traseul Vișina – Ceamurlia de Sus</w:t>
            </w:r>
          </w:p>
        </w:tc>
        <w:tc>
          <w:tcPr>
            <w:tcW w:w="1476" w:type="pct"/>
            <w:shd w:val="clear" w:color="auto" w:fill="E7E6E6" w:themeFill="background2"/>
            <w:vAlign w:val="center"/>
          </w:tcPr>
          <w:p w14:paraId="7736A73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Parteneriatul dintre UAT Județul Tulcea, UAT Comuna Baia, UAT Comuna Ceamurlia de Jos și UAT Comuna Jurilovca</w:t>
            </w:r>
          </w:p>
        </w:tc>
        <w:tc>
          <w:tcPr>
            <w:tcW w:w="1090" w:type="pct"/>
            <w:shd w:val="clear" w:color="auto" w:fill="E7E6E6" w:themeFill="background2"/>
            <w:vAlign w:val="center"/>
          </w:tcPr>
          <w:p w14:paraId="06B8E5B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40.679.791</w:t>
            </w:r>
          </w:p>
        </w:tc>
      </w:tr>
      <w:tr w:rsidR="00AF66BB" w:rsidRPr="007D3D4F" w14:paraId="08E31C72" w14:textId="77777777" w:rsidTr="004604FA">
        <w:trPr>
          <w:jc w:val="center"/>
        </w:trPr>
        <w:tc>
          <w:tcPr>
            <w:tcW w:w="2434" w:type="pct"/>
            <w:shd w:val="clear" w:color="auto" w:fill="E7E6E6" w:themeFill="background2"/>
            <w:vAlign w:val="center"/>
          </w:tcPr>
          <w:p w14:paraId="0982EA6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infrastructura de transport regional pe traseul Niculițel si Turda-Sarichioi</w:t>
            </w:r>
          </w:p>
        </w:tc>
        <w:tc>
          <w:tcPr>
            <w:tcW w:w="1476" w:type="pct"/>
            <w:shd w:val="clear" w:color="auto" w:fill="E7E6E6" w:themeFill="background2"/>
            <w:vAlign w:val="center"/>
          </w:tcPr>
          <w:p w14:paraId="7E67937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Parteneriatul dintre UAT Județul Tulcea și UAT Comuna Babadag, UAT Comuna Mihai Bravu, UAT Comuna Sarichioi, UAT Niculițel</w:t>
            </w:r>
          </w:p>
        </w:tc>
        <w:tc>
          <w:tcPr>
            <w:tcW w:w="1090" w:type="pct"/>
            <w:shd w:val="clear" w:color="auto" w:fill="E7E6E6" w:themeFill="background2"/>
            <w:vAlign w:val="center"/>
          </w:tcPr>
          <w:p w14:paraId="6691F7F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76.416.926</w:t>
            </w:r>
          </w:p>
        </w:tc>
      </w:tr>
      <w:tr w:rsidR="00AF66BB" w:rsidRPr="007D3D4F" w14:paraId="29BE4554" w14:textId="77777777" w:rsidTr="004604FA">
        <w:trPr>
          <w:jc w:val="center"/>
        </w:trPr>
        <w:tc>
          <w:tcPr>
            <w:tcW w:w="2434" w:type="pct"/>
            <w:shd w:val="clear" w:color="auto" w:fill="E7E6E6" w:themeFill="background2"/>
            <w:vAlign w:val="center"/>
          </w:tcPr>
          <w:p w14:paraId="0BC7071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infrastructură de transport regional pe traseul Baia-Ceamurlia de Sus</w:t>
            </w:r>
          </w:p>
        </w:tc>
        <w:tc>
          <w:tcPr>
            <w:tcW w:w="1476" w:type="pct"/>
            <w:shd w:val="clear" w:color="auto" w:fill="E7E6E6" w:themeFill="background2"/>
            <w:vAlign w:val="center"/>
          </w:tcPr>
          <w:p w14:paraId="6D68211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Parteneriatul dintre UAT Județul Tulcea și UAT Comuna Baia</w:t>
            </w:r>
          </w:p>
        </w:tc>
        <w:tc>
          <w:tcPr>
            <w:tcW w:w="1090" w:type="pct"/>
            <w:shd w:val="clear" w:color="auto" w:fill="E7E6E6" w:themeFill="background2"/>
            <w:vAlign w:val="center"/>
          </w:tcPr>
          <w:p w14:paraId="4EC9AB5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18.859.546</w:t>
            </w:r>
          </w:p>
        </w:tc>
      </w:tr>
      <w:tr w:rsidR="00AF66BB" w:rsidRPr="007D3D4F" w14:paraId="6CB5C46C" w14:textId="77777777" w:rsidTr="004604FA">
        <w:trPr>
          <w:jc w:val="center"/>
        </w:trPr>
        <w:tc>
          <w:tcPr>
            <w:tcW w:w="2434" w:type="pct"/>
            <w:shd w:val="clear" w:color="auto" w:fill="E7E6E6" w:themeFill="background2"/>
            <w:vAlign w:val="center"/>
          </w:tcPr>
          <w:p w14:paraId="0376678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infrastructura de transport regional pe traseul Traian – Peceneaga – Ostrov – Dăieni – Fagarașu Nou</w:t>
            </w:r>
          </w:p>
        </w:tc>
        <w:tc>
          <w:tcPr>
            <w:tcW w:w="1476" w:type="pct"/>
            <w:shd w:val="clear" w:color="auto" w:fill="E7E6E6" w:themeFill="background2"/>
            <w:vAlign w:val="center"/>
          </w:tcPr>
          <w:p w14:paraId="706D9E5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Unitatea Administrativ Teritoriala Județul Tulcea – lider de parteneriat</w:t>
            </w:r>
          </w:p>
        </w:tc>
        <w:tc>
          <w:tcPr>
            <w:tcW w:w="1090" w:type="pct"/>
            <w:shd w:val="clear" w:color="auto" w:fill="E7E6E6" w:themeFill="background2"/>
            <w:vAlign w:val="center"/>
          </w:tcPr>
          <w:p w14:paraId="3860980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128.928.576</w:t>
            </w:r>
          </w:p>
        </w:tc>
      </w:tr>
      <w:tr w:rsidR="00AF66BB" w:rsidRPr="007D3D4F" w14:paraId="24D56497" w14:textId="77777777" w:rsidTr="004604FA">
        <w:trPr>
          <w:trHeight w:val="58"/>
          <w:jc w:val="center"/>
        </w:trPr>
        <w:tc>
          <w:tcPr>
            <w:tcW w:w="3910" w:type="pct"/>
            <w:gridSpan w:val="2"/>
            <w:shd w:val="clear" w:color="auto" w:fill="767171" w:themeFill="background2" w:themeFillShade="80"/>
            <w:vAlign w:val="center"/>
          </w:tcPr>
          <w:p w14:paraId="143D48B1" w14:textId="77777777" w:rsidR="00AF66BB" w:rsidRPr="004604FA" w:rsidRDefault="00AF66BB" w:rsidP="004C072F">
            <w:pPr>
              <w:spacing w:before="120" w:after="120"/>
              <w:contextualSpacing/>
              <w:jc w:val="center"/>
              <w:rPr>
                <w:rFonts w:ascii="Times New Roman" w:hAnsi="Times New Roman" w:cs="Times New Roman"/>
                <w:b/>
                <w:bCs/>
                <w:color w:val="FFFFFF" w:themeColor="background1"/>
                <w:sz w:val="20"/>
                <w:szCs w:val="20"/>
              </w:rPr>
            </w:pPr>
            <w:r w:rsidRPr="004604FA">
              <w:rPr>
                <w:rFonts w:ascii="Times New Roman" w:hAnsi="Times New Roman" w:cs="Times New Roman"/>
                <w:b/>
                <w:bCs/>
                <w:color w:val="FFFFFF" w:themeColor="background1"/>
                <w:sz w:val="20"/>
                <w:szCs w:val="20"/>
              </w:rPr>
              <w:t>Total</w:t>
            </w:r>
          </w:p>
        </w:tc>
        <w:tc>
          <w:tcPr>
            <w:tcW w:w="1090" w:type="pct"/>
            <w:shd w:val="clear" w:color="auto" w:fill="767171" w:themeFill="background2" w:themeFillShade="80"/>
            <w:vAlign w:val="center"/>
          </w:tcPr>
          <w:p w14:paraId="0E1A5FAF" w14:textId="77777777" w:rsidR="00AF66BB" w:rsidRPr="004604FA" w:rsidRDefault="00AF66BB" w:rsidP="004C072F">
            <w:pPr>
              <w:spacing w:before="120" w:after="120"/>
              <w:contextualSpacing/>
              <w:jc w:val="center"/>
              <w:rPr>
                <w:rFonts w:ascii="Times New Roman" w:hAnsi="Times New Roman" w:cs="Times New Roman"/>
                <w:b/>
                <w:bCs/>
                <w:color w:val="FFFFFF" w:themeColor="background1"/>
                <w:sz w:val="20"/>
                <w:szCs w:val="20"/>
              </w:rPr>
            </w:pPr>
            <w:r w:rsidRPr="004604FA">
              <w:rPr>
                <w:rFonts w:ascii="Times New Roman" w:hAnsi="Times New Roman" w:cs="Times New Roman"/>
                <w:b/>
                <w:bCs/>
                <w:color w:val="FFFFFF" w:themeColor="background1"/>
                <w:sz w:val="20"/>
                <w:szCs w:val="20"/>
              </w:rPr>
              <w:t>429.295.554</w:t>
            </w:r>
          </w:p>
        </w:tc>
      </w:tr>
    </w:tbl>
    <w:p w14:paraId="2980A82F"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7C0D6CF"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Conform datelor din tabelul de mai sus, se observă faptul că: </w:t>
      </w:r>
    </w:p>
    <w:p w14:paraId="4BFDA4D5" w14:textId="77777777" w:rsidR="00AF66BB" w:rsidRPr="007D3D4F" w:rsidRDefault="00AF66BB" w:rsidP="00D81598">
      <w:pPr>
        <w:pStyle w:val="Listparagraf"/>
        <w:numPr>
          <w:ilvl w:val="0"/>
          <w:numId w:val="16"/>
        </w:numPr>
        <w:spacing w:before="120" w:after="120" w:line="240" w:lineRule="auto"/>
        <w:jc w:val="both"/>
        <w:rPr>
          <w:rFonts w:ascii="Times New Roman" w:hAnsi="Times New Roman" w:cs="Times New Roman"/>
        </w:rPr>
      </w:pPr>
      <w:r w:rsidRPr="007D3D4F">
        <w:rPr>
          <w:rFonts w:ascii="Times New Roman" w:hAnsi="Times New Roman" w:cs="Times New Roman"/>
        </w:rPr>
        <w:t>cele mai multe proiecte au fost implementate prin parteneriate între Consiliul Județean Tulcea și unități administrativ-teritoriale locale, reflectând o abordare colaborativă pentru soluționarea problemelor de mobilitate regională;</w:t>
      </w:r>
    </w:p>
    <w:p w14:paraId="5CA94CDA" w14:textId="77777777" w:rsidR="00AF66BB" w:rsidRPr="007D3D4F" w:rsidRDefault="00AF66BB" w:rsidP="00D81598">
      <w:pPr>
        <w:pStyle w:val="Listparagraf"/>
        <w:numPr>
          <w:ilvl w:val="0"/>
          <w:numId w:val="16"/>
        </w:numPr>
        <w:spacing w:before="120" w:after="120" w:line="240" w:lineRule="auto"/>
        <w:jc w:val="both"/>
        <w:rPr>
          <w:rFonts w:ascii="Times New Roman" w:hAnsi="Times New Roman" w:cs="Times New Roman"/>
        </w:rPr>
      </w:pPr>
      <w:r w:rsidRPr="007D3D4F">
        <w:rPr>
          <w:rFonts w:ascii="Times New Roman" w:hAnsi="Times New Roman" w:cs="Times New Roman"/>
        </w:rPr>
        <w:lastRenderedPageBreak/>
        <w:t>rutele vizate, precum Traian–Peceneaga–Dăieni–Ostrov sau Stejaru–Cerna, sunt importante pentru conectarea zonelor izolate și pentru accesul la infrastructura principală de transport, contribuind astfel la reducerea disparităților teritoriale.</w:t>
      </w:r>
    </w:p>
    <w:p w14:paraId="65F6405A" w14:textId="77777777" w:rsidR="00AF66BB" w:rsidRPr="007D3D4F" w:rsidRDefault="00AF66BB" w:rsidP="00D81598">
      <w:pPr>
        <w:pStyle w:val="Listparagraf"/>
        <w:numPr>
          <w:ilvl w:val="0"/>
          <w:numId w:val="16"/>
        </w:numPr>
        <w:spacing w:before="120" w:after="120" w:line="240" w:lineRule="auto"/>
        <w:jc w:val="both"/>
        <w:rPr>
          <w:rFonts w:ascii="Times New Roman" w:hAnsi="Times New Roman" w:cs="Times New Roman"/>
        </w:rPr>
      </w:pPr>
      <w:r w:rsidRPr="007D3D4F">
        <w:rPr>
          <w:rFonts w:ascii="Times New Roman" w:hAnsi="Times New Roman" w:cs="Times New Roman"/>
        </w:rPr>
        <w:t xml:space="preserve">proiectul de modernizare a traseului Traian–Peceneaga–Ostrov–Dăieni–Făgărașu Nou se remarcă prin cea mai mare alocare, de peste </w:t>
      </w:r>
      <w:r w:rsidRPr="007D3D4F">
        <w:rPr>
          <w:rFonts w:ascii="Times New Roman" w:hAnsi="Times New Roman" w:cs="Times New Roman"/>
          <w:b/>
          <w:bCs/>
        </w:rPr>
        <w:t>128 milioane lei</w:t>
      </w:r>
      <w:r w:rsidRPr="007D3D4F">
        <w:rPr>
          <w:rFonts w:ascii="Times New Roman" w:hAnsi="Times New Roman" w:cs="Times New Roman"/>
        </w:rPr>
        <w:t>, ceea ce indică prioritatea strategică acordată acestei legături regionale.</w:t>
      </w:r>
    </w:p>
    <w:p w14:paraId="330FB1E2"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Aceste proiecte oferă o bază solidă pentru extinderea și conectarea rețelei rutiere din județ în perioada 2021–2027. De asemenea, ele creează premisele pentru îmbunătățirea serviciilor publice, a transportului de mărfuri și a accesului populației la locuri de muncă, educație și servicii sociale.</w:t>
      </w:r>
    </w:p>
    <w:p w14:paraId="7C28083C"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În județul Tulcea, două proiecte relevante, cu o valoare totală de </w:t>
      </w:r>
      <w:r w:rsidRPr="007D3D4F">
        <w:rPr>
          <w:rFonts w:ascii="Times New Roman" w:hAnsi="Times New Roman" w:cs="Times New Roman"/>
          <w:b/>
          <w:bCs/>
        </w:rPr>
        <w:t>36,31 milioane lei</w:t>
      </w:r>
      <w:r w:rsidRPr="007D3D4F">
        <w:rPr>
          <w:rFonts w:ascii="Times New Roman" w:hAnsi="Times New Roman" w:cs="Times New Roman"/>
        </w:rPr>
        <w:t xml:space="preserve">, au fost implementate pentru a susține </w:t>
      </w:r>
      <w:r w:rsidRPr="007D3D4F">
        <w:rPr>
          <w:rFonts w:ascii="Times New Roman" w:hAnsi="Times New Roman" w:cs="Times New Roman"/>
          <w:b/>
          <w:bCs/>
        </w:rPr>
        <w:t>mobilitatea pe apă</w:t>
      </w:r>
      <w:r w:rsidRPr="007D3D4F">
        <w:rPr>
          <w:rFonts w:ascii="Times New Roman" w:hAnsi="Times New Roman" w:cs="Times New Roman"/>
        </w:rPr>
        <w:t xml:space="preserve"> și </w:t>
      </w:r>
      <w:r w:rsidRPr="007D3D4F">
        <w:rPr>
          <w:rFonts w:ascii="Times New Roman" w:hAnsi="Times New Roman" w:cs="Times New Roman"/>
          <w:b/>
          <w:bCs/>
        </w:rPr>
        <w:t>accesul facil al locuitorilor și turiștilor</w:t>
      </w:r>
      <w:r w:rsidRPr="007D3D4F">
        <w:rPr>
          <w:rFonts w:ascii="Times New Roman" w:hAnsi="Times New Roman" w:cs="Times New Roman"/>
        </w:rPr>
        <w:t xml:space="preserve"> în zone greu accesibile pe cale rutieră, prezentate în tabelul de mai jos.</w:t>
      </w:r>
    </w:p>
    <w:p w14:paraId="26D0DD89" w14:textId="26EA542A"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12</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prin Programul Operațional Regional (POR) 2014–2020 cu scopul de a dezvolta transportul naval local</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4549"/>
        <w:gridCol w:w="2758"/>
        <w:gridCol w:w="2037"/>
      </w:tblGrid>
      <w:tr w:rsidR="00AF66BB" w:rsidRPr="007D3D4F" w14:paraId="3703A47C" w14:textId="77777777" w:rsidTr="004604FA">
        <w:trPr>
          <w:jc w:val="center"/>
        </w:trPr>
        <w:tc>
          <w:tcPr>
            <w:tcW w:w="2434" w:type="pct"/>
            <w:shd w:val="clear" w:color="auto" w:fill="3B3838" w:themeFill="background2" w:themeFillShade="40"/>
            <w:vAlign w:val="center"/>
          </w:tcPr>
          <w:p w14:paraId="35CF8E7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476" w:type="pct"/>
            <w:shd w:val="clear" w:color="auto" w:fill="3B3838" w:themeFill="background2" w:themeFillShade="40"/>
            <w:vAlign w:val="center"/>
          </w:tcPr>
          <w:p w14:paraId="769824F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Beneficiar</w:t>
            </w:r>
          </w:p>
        </w:tc>
        <w:tc>
          <w:tcPr>
            <w:tcW w:w="1090" w:type="pct"/>
            <w:shd w:val="clear" w:color="auto" w:fill="3B3838" w:themeFill="background2" w:themeFillShade="40"/>
            <w:vAlign w:val="center"/>
          </w:tcPr>
          <w:p w14:paraId="45CF267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6B3A2C7C" w14:textId="77777777" w:rsidTr="004604FA">
        <w:trPr>
          <w:jc w:val="center"/>
        </w:trPr>
        <w:tc>
          <w:tcPr>
            <w:tcW w:w="2434" w:type="pct"/>
            <w:shd w:val="clear" w:color="auto" w:fill="E7E6E6" w:themeFill="background2"/>
            <w:vAlign w:val="center"/>
          </w:tcPr>
          <w:p w14:paraId="21C9E93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Creșterea accesibilității prin dezvoltarea infrastructurii de acostare in comuna Jurilovca, județul Tulcea</w:t>
            </w:r>
          </w:p>
        </w:tc>
        <w:tc>
          <w:tcPr>
            <w:tcW w:w="1476" w:type="pct"/>
            <w:shd w:val="clear" w:color="auto" w:fill="E7E6E6" w:themeFill="background2"/>
            <w:vAlign w:val="center"/>
          </w:tcPr>
          <w:p w14:paraId="5A039C7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Unitatea Administrativ Teritoriala Comuna Jurilovca</w:t>
            </w:r>
          </w:p>
        </w:tc>
        <w:tc>
          <w:tcPr>
            <w:tcW w:w="1090" w:type="pct"/>
            <w:shd w:val="clear" w:color="auto" w:fill="E7E6E6" w:themeFill="background2"/>
            <w:vAlign w:val="center"/>
          </w:tcPr>
          <w:p w14:paraId="5797879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18.434.666</w:t>
            </w:r>
          </w:p>
        </w:tc>
      </w:tr>
      <w:tr w:rsidR="00AF66BB" w:rsidRPr="007D3D4F" w14:paraId="30E5C667" w14:textId="77777777" w:rsidTr="004604FA">
        <w:trPr>
          <w:jc w:val="center"/>
        </w:trPr>
        <w:tc>
          <w:tcPr>
            <w:tcW w:w="2434" w:type="pct"/>
            <w:shd w:val="clear" w:color="auto" w:fill="E7E6E6" w:themeFill="background2"/>
            <w:vAlign w:val="center"/>
          </w:tcPr>
          <w:p w14:paraId="31C96F7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Infrastructura de agrement cu facilități de acostare in comuna Chilia Veche</w:t>
            </w:r>
          </w:p>
        </w:tc>
        <w:tc>
          <w:tcPr>
            <w:tcW w:w="1476" w:type="pct"/>
            <w:shd w:val="clear" w:color="auto" w:fill="E7E6E6" w:themeFill="background2"/>
            <w:vAlign w:val="center"/>
          </w:tcPr>
          <w:p w14:paraId="17C5B04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Unitatea Administrativ Teritoriala Comuna Chilia Veche</w:t>
            </w:r>
          </w:p>
        </w:tc>
        <w:tc>
          <w:tcPr>
            <w:tcW w:w="1090" w:type="pct"/>
            <w:shd w:val="clear" w:color="auto" w:fill="E7E6E6" w:themeFill="background2"/>
            <w:vAlign w:val="center"/>
          </w:tcPr>
          <w:p w14:paraId="16074B7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17.883.657</w:t>
            </w:r>
          </w:p>
        </w:tc>
      </w:tr>
      <w:tr w:rsidR="00AF66BB" w:rsidRPr="007D3D4F" w14:paraId="6F37B1E8" w14:textId="77777777" w:rsidTr="004604FA">
        <w:trPr>
          <w:trHeight w:val="58"/>
          <w:jc w:val="center"/>
        </w:trPr>
        <w:tc>
          <w:tcPr>
            <w:tcW w:w="3910" w:type="pct"/>
            <w:gridSpan w:val="2"/>
            <w:shd w:val="clear" w:color="auto" w:fill="E7E6E6" w:themeFill="background2"/>
            <w:vAlign w:val="center"/>
          </w:tcPr>
          <w:p w14:paraId="79F93887" w14:textId="77777777" w:rsidR="00AF66BB" w:rsidRPr="007D3D4F" w:rsidRDefault="00AF66BB" w:rsidP="004C072F">
            <w:pPr>
              <w:spacing w:before="120" w:after="12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Total</w:t>
            </w:r>
          </w:p>
        </w:tc>
        <w:tc>
          <w:tcPr>
            <w:tcW w:w="1090" w:type="pct"/>
            <w:shd w:val="clear" w:color="auto" w:fill="E7E6E6" w:themeFill="background2"/>
            <w:vAlign w:val="center"/>
          </w:tcPr>
          <w:p w14:paraId="68FA8E73" w14:textId="77777777" w:rsidR="00AF66BB" w:rsidRPr="007D3D4F" w:rsidRDefault="00AF66BB" w:rsidP="004C072F">
            <w:pPr>
              <w:spacing w:before="120" w:after="12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36.318.323</w:t>
            </w:r>
          </w:p>
        </w:tc>
      </w:tr>
    </w:tbl>
    <w:p w14:paraId="123AB0E6" w14:textId="45A97FA4"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70A11675"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Conform datelor din tabelul de mai sus, se observă faptul că: </w:t>
      </w:r>
    </w:p>
    <w:p w14:paraId="6EE77B77" w14:textId="77777777" w:rsidR="00AF66BB" w:rsidRPr="007D3D4F" w:rsidRDefault="00AF66BB" w:rsidP="00D81598">
      <w:pPr>
        <w:pStyle w:val="Listparagraf"/>
        <w:numPr>
          <w:ilvl w:val="0"/>
          <w:numId w:val="17"/>
        </w:numPr>
        <w:spacing w:before="120" w:after="120" w:line="240" w:lineRule="auto"/>
        <w:jc w:val="both"/>
        <w:rPr>
          <w:rFonts w:ascii="Times New Roman" w:hAnsi="Times New Roman" w:cs="Times New Roman"/>
        </w:rPr>
      </w:pPr>
      <w:r w:rsidRPr="007D3D4F">
        <w:rPr>
          <w:rFonts w:ascii="Times New Roman" w:hAnsi="Times New Roman" w:cs="Times New Roman"/>
        </w:rPr>
        <w:t>investițiile din Jurilovca și Chilia Veche contribuie semnificativ la conectarea comunităților deltaice cu restul județului, asigurând puncte de acostare moderne și sigure;</w:t>
      </w:r>
    </w:p>
    <w:p w14:paraId="417872E6" w14:textId="77777777" w:rsidR="00AF66BB" w:rsidRPr="007D3D4F" w:rsidRDefault="00AF66BB" w:rsidP="00D81598">
      <w:pPr>
        <w:pStyle w:val="Listparagraf"/>
        <w:numPr>
          <w:ilvl w:val="0"/>
          <w:numId w:val="17"/>
        </w:numPr>
        <w:spacing w:before="120" w:after="120" w:line="240" w:lineRule="auto"/>
        <w:jc w:val="both"/>
        <w:rPr>
          <w:rFonts w:ascii="Times New Roman" w:hAnsi="Times New Roman" w:cs="Times New Roman"/>
        </w:rPr>
      </w:pPr>
      <w:r w:rsidRPr="007D3D4F">
        <w:rPr>
          <w:rFonts w:ascii="Times New Roman" w:hAnsi="Times New Roman" w:cs="Times New Roman"/>
        </w:rPr>
        <w:t xml:space="preserve">aceste investiții oferă un punct de plecare pentru dezvoltarea unei </w:t>
      </w:r>
      <w:r w:rsidRPr="007D3D4F">
        <w:rPr>
          <w:rFonts w:ascii="Times New Roman" w:hAnsi="Times New Roman" w:cs="Times New Roman"/>
          <w:b/>
          <w:bCs/>
        </w:rPr>
        <w:t>rețele coerente de transport naval local</w:t>
      </w:r>
      <w:r w:rsidRPr="007D3D4F">
        <w:rPr>
          <w:rFonts w:ascii="Times New Roman" w:hAnsi="Times New Roman" w:cs="Times New Roman"/>
        </w:rPr>
        <w:t>, complementar cu transportul rutier, mai ales în zonele din Delta Dunării unde accesul terestru este limitat sau inexistent.</w:t>
      </w:r>
    </w:p>
    <w:p w14:paraId="44DCC655"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Dezvoltarea punctelor de acostare și infrastructurii portuare locale este esențială pentru o strategie de transport integrat în județul Tulcea, cu accent pe </w:t>
      </w:r>
      <w:r w:rsidRPr="007D3D4F">
        <w:rPr>
          <w:rFonts w:ascii="Times New Roman" w:hAnsi="Times New Roman" w:cs="Times New Roman"/>
          <w:b/>
          <w:bCs/>
        </w:rPr>
        <w:t>multimodalitate</w:t>
      </w:r>
      <w:r w:rsidRPr="007D3D4F">
        <w:rPr>
          <w:rFonts w:ascii="Times New Roman" w:hAnsi="Times New Roman" w:cs="Times New Roman"/>
        </w:rPr>
        <w:t xml:space="preserve">, </w:t>
      </w:r>
      <w:r w:rsidRPr="007D3D4F">
        <w:rPr>
          <w:rFonts w:ascii="Times New Roman" w:hAnsi="Times New Roman" w:cs="Times New Roman"/>
          <w:b/>
          <w:bCs/>
        </w:rPr>
        <w:t>dezvoltare sustenabilă</w:t>
      </w:r>
      <w:r w:rsidRPr="007D3D4F">
        <w:rPr>
          <w:rFonts w:ascii="Times New Roman" w:hAnsi="Times New Roman" w:cs="Times New Roman"/>
        </w:rPr>
        <w:t xml:space="preserve"> și </w:t>
      </w:r>
      <w:r w:rsidRPr="007D3D4F">
        <w:rPr>
          <w:rFonts w:ascii="Times New Roman" w:hAnsi="Times New Roman" w:cs="Times New Roman"/>
          <w:b/>
          <w:bCs/>
        </w:rPr>
        <w:t>valorificarea potențialului turistic</w:t>
      </w:r>
      <w:r w:rsidRPr="007D3D4F">
        <w:rPr>
          <w:rFonts w:ascii="Times New Roman" w:hAnsi="Times New Roman" w:cs="Times New Roman"/>
        </w:rPr>
        <w:t xml:space="preserve"> al zonei.</w:t>
      </w:r>
    </w:p>
    <w:p w14:paraId="64B1907B" w14:textId="77777777" w:rsidR="00AF66BB" w:rsidRPr="007D3D4F" w:rsidRDefault="00AF66BB" w:rsidP="004C072F">
      <w:pPr>
        <w:shd w:val="clear" w:color="auto" w:fill="FFF2CC" w:themeFill="accent4" w:themeFillTint="33"/>
        <w:spacing w:before="120" w:after="120" w:line="240" w:lineRule="auto"/>
        <w:contextualSpacing/>
        <w:jc w:val="both"/>
        <w:rPr>
          <w:rFonts w:ascii="Times New Roman" w:hAnsi="Times New Roman" w:cs="Times New Roman"/>
          <w:b/>
          <w:bCs/>
        </w:rPr>
      </w:pPr>
      <w:r w:rsidRPr="007D3D4F">
        <w:rPr>
          <w:rFonts w:ascii="Times New Roman" w:hAnsi="Times New Roman" w:cs="Times New Roman"/>
          <w:b/>
          <w:bCs/>
        </w:rPr>
        <w:t>Programul Național Dezvoltare Locală I și II</w:t>
      </w:r>
    </w:p>
    <w:p w14:paraId="0B00A437"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b/>
          <w:bCs/>
        </w:rPr>
        <w:t>rogramul Național de Dezvoltare Locală</w:t>
      </w:r>
      <w:r w:rsidRPr="007D3D4F">
        <w:rPr>
          <w:rFonts w:ascii="Times New Roman" w:hAnsi="Times New Roman" w:cs="Times New Roman"/>
        </w:rPr>
        <w:t xml:space="preserve"> a reprezentat un instrument esențial pentru dezvoltarea infrastructurii rutiere în județul Tulcea, contribuind la modernizarea și reabilitarea drumurilor locale printr-o investiție totală de peste </w:t>
      </w:r>
      <w:r w:rsidRPr="007D3D4F">
        <w:rPr>
          <w:rFonts w:ascii="Times New Roman" w:hAnsi="Times New Roman" w:cs="Times New Roman"/>
          <w:b/>
          <w:bCs/>
        </w:rPr>
        <w:t>700 milioane lei</w:t>
      </w:r>
      <w:r w:rsidRPr="007D3D4F">
        <w:rPr>
          <w:rFonts w:ascii="Times New Roman" w:hAnsi="Times New Roman" w:cs="Times New Roman"/>
        </w:rPr>
        <w:t>.</w:t>
      </w:r>
      <w:r w:rsidRPr="007D3D4F">
        <w:rPr>
          <w:rFonts w:ascii="Times New Roman" w:hAnsi="Times New Roman" w:cs="Times New Roman"/>
        </w:rPr>
        <w:br/>
        <w:t xml:space="preserve">Din perspectiva valorii fondurilor atrase, </w:t>
      </w:r>
      <w:r w:rsidRPr="007D3D4F">
        <w:rPr>
          <w:rFonts w:ascii="Times New Roman" w:hAnsi="Times New Roman" w:cs="Times New Roman"/>
          <w:b/>
          <w:bCs/>
        </w:rPr>
        <w:t>principalii cinci beneficiari</w:t>
      </w:r>
      <w:r w:rsidRPr="007D3D4F">
        <w:rPr>
          <w:rFonts w:ascii="Times New Roman" w:hAnsi="Times New Roman" w:cs="Times New Roman"/>
        </w:rPr>
        <w:t xml:space="preserve"> ai programului au fost:</w:t>
      </w:r>
    </w:p>
    <w:p w14:paraId="32A88A2E" w14:textId="77777777" w:rsidR="00AF66BB" w:rsidRPr="007D3D4F" w:rsidRDefault="00AF66BB" w:rsidP="00D81598">
      <w:pPr>
        <w:numPr>
          <w:ilvl w:val="0"/>
          <w:numId w:val="18"/>
        </w:numPr>
        <w:spacing w:before="120" w:after="120" w:line="240" w:lineRule="auto"/>
        <w:contextualSpacing/>
        <w:jc w:val="both"/>
        <w:rPr>
          <w:rFonts w:ascii="Times New Roman" w:hAnsi="Times New Roman" w:cs="Times New Roman"/>
        </w:rPr>
      </w:pPr>
      <w:r w:rsidRPr="007D3D4F">
        <w:rPr>
          <w:rFonts w:ascii="Times New Roman" w:hAnsi="Times New Roman" w:cs="Times New Roman"/>
        </w:rPr>
        <w:t>Consiliul Județean Tulcea – peste 140 milioane lei;</w:t>
      </w:r>
    </w:p>
    <w:p w14:paraId="06C9C308" w14:textId="77777777" w:rsidR="00AF66BB" w:rsidRPr="007D3D4F" w:rsidRDefault="00AF66BB" w:rsidP="00D81598">
      <w:pPr>
        <w:numPr>
          <w:ilvl w:val="0"/>
          <w:numId w:val="18"/>
        </w:numPr>
        <w:spacing w:before="120" w:after="120" w:line="240" w:lineRule="auto"/>
        <w:contextualSpacing/>
        <w:jc w:val="both"/>
        <w:rPr>
          <w:rFonts w:ascii="Times New Roman" w:hAnsi="Times New Roman" w:cs="Times New Roman"/>
        </w:rPr>
      </w:pPr>
      <w:r w:rsidRPr="007D3D4F">
        <w:rPr>
          <w:rFonts w:ascii="Times New Roman" w:hAnsi="Times New Roman" w:cs="Times New Roman"/>
        </w:rPr>
        <w:t>UAT Măcin – peste 36 milioane lei;</w:t>
      </w:r>
    </w:p>
    <w:p w14:paraId="054BC5DA" w14:textId="77777777" w:rsidR="00AF66BB" w:rsidRPr="007D3D4F" w:rsidRDefault="00AF66BB" w:rsidP="00D81598">
      <w:pPr>
        <w:numPr>
          <w:ilvl w:val="0"/>
          <w:numId w:val="18"/>
        </w:numPr>
        <w:spacing w:before="120" w:after="120" w:line="240" w:lineRule="auto"/>
        <w:contextualSpacing/>
        <w:jc w:val="both"/>
        <w:rPr>
          <w:rFonts w:ascii="Times New Roman" w:hAnsi="Times New Roman" w:cs="Times New Roman"/>
        </w:rPr>
      </w:pPr>
      <w:r w:rsidRPr="007D3D4F">
        <w:rPr>
          <w:rFonts w:ascii="Times New Roman" w:hAnsi="Times New Roman" w:cs="Times New Roman"/>
        </w:rPr>
        <w:t>UAT Luncavița – peste 36 milioane lei;</w:t>
      </w:r>
    </w:p>
    <w:p w14:paraId="46F1FBA9" w14:textId="77777777" w:rsidR="00AF66BB" w:rsidRPr="007D3D4F" w:rsidRDefault="00AF66BB" w:rsidP="00D81598">
      <w:pPr>
        <w:numPr>
          <w:ilvl w:val="0"/>
          <w:numId w:val="18"/>
        </w:numPr>
        <w:spacing w:before="120" w:after="120" w:line="240" w:lineRule="auto"/>
        <w:contextualSpacing/>
        <w:jc w:val="both"/>
        <w:rPr>
          <w:rFonts w:ascii="Times New Roman" w:hAnsi="Times New Roman" w:cs="Times New Roman"/>
        </w:rPr>
      </w:pPr>
      <w:r w:rsidRPr="007D3D4F">
        <w:rPr>
          <w:rFonts w:ascii="Times New Roman" w:hAnsi="Times New Roman" w:cs="Times New Roman"/>
        </w:rPr>
        <w:t>UAT Cerna – peste 32 milioane lei;</w:t>
      </w:r>
    </w:p>
    <w:p w14:paraId="4C505677" w14:textId="77777777" w:rsidR="00AF66BB" w:rsidRPr="007D3D4F" w:rsidRDefault="00AF66BB" w:rsidP="00D81598">
      <w:pPr>
        <w:numPr>
          <w:ilvl w:val="0"/>
          <w:numId w:val="18"/>
        </w:numPr>
        <w:spacing w:before="120" w:after="120" w:line="240" w:lineRule="auto"/>
        <w:contextualSpacing/>
        <w:jc w:val="both"/>
        <w:rPr>
          <w:rFonts w:ascii="Times New Roman" w:hAnsi="Times New Roman" w:cs="Times New Roman"/>
        </w:rPr>
      </w:pPr>
      <w:r w:rsidRPr="007D3D4F">
        <w:rPr>
          <w:rFonts w:ascii="Times New Roman" w:hAnsi="Times New Roman" w:cs="Times New Roman"/>
        </w:rPr>
        <w:t>UAT Dăeni – peste 27 milioane lei.</w:t>
      </w:r>
    </w:p>
    <w:p w14:paraId="4111E56D"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Aceste sume reflectă capacitatea administrațiilor locale de a accesa fonduri pentru îmbunătățirea mobilității și a condițiilor de trai ale locuitorilor.</w:t>
      </w:r>
    </w:p>
    <w:p w14:paraId="669B6A66"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lastRenderedPageBreak/>
        <w:t>Programul a avut un impact semnificativ asupra infrastructurii de transport din județul Tulcea, contribuind la modernizarea rețelelor de drumuri locale, asfaltarea străzilor, reabilitarea podurilor și îmbunătățirea accesibilității între localități. Intervențiile s-au concentrat în special pe infrastructura rutieră, vizând atât centrele comunale, cât și satele aparținătoare, reflectând o abordare echitabilă a dezvoltării teritoriale.</w:t>
      </w:r>
      <w:r w:rsidRPr="007D3D4F">
        <w:rPr>
          <w:rFonts w:ascii="Times New Roman" w:hAnsi="Times New Roman" w:cs="Times New Roman"/>
        </w:rPr>
        <w:br/>
      </w:r>
      <w:r w:rsidRPr="007D3D4F">
        <w:rPr>
          <w:rFonts w:ascii="Times New Roman" w:hAnsi="Times New Roman" w:cs="Times New Roman"/>
          <w:b/>
          <w:bCs/>
        </w:rPr>
        <w:t>Majoritatea unităților administrativ-teritoriale din județ au beneficiat de cel puțin un proiect de investiții</w:t>
      </w:r>
      <w:r w:rsidRPr="007D3D4F">
        <w:rPr>
          <w:rFonts w:ascii="Times New Roman" w:hAnsi="Times New Roman" w:cs="Times New Roman"/>
        </w:rPr>
        <w:t>, ceea ce demonstrează rolul programului în reducerea discrepanțelor dintre comunități și în sprijinirea dezvoltării locale durabile.</w:t>
      </w:r>
    </w:p>
    <w:p w14:paraId="734DC928"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Investițiile realizate prin Programul Național Dezvoltare Locală I și II au fost prezentate în funcție de localitatea de implementare, în ordine alfabetică.</w:t>
      </w:r>
    </w:p>
    <w:p w14:paraId="0A2AF846"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 xml:space="preserve">La nivelul orașului Babadag au fost realizate 10 proiecte care au avut scopul de a dezvolta infrastructura rutieră din oraș. Valoarea totală a acestora a fost de peste 18 milioane lei, 4 fiind finanțate prin PNDL I și 6 prin PNDL II. </w:t>
      </w:r>
    </w:p>
    <w:p w14:paraId="2D8348E8" w14:textId="77777777" w:rsidR="00AF66BB" w:rsidRPr="004604FA" w:rsidRDefault="00AF66BB" w:rsidP="004C072F">
      <w:pPr>
        <w:spacing w:before="120" w:after="120" w:line="240" w:lineRule="auto"/>
        <w:contextualSpacing/>
        <w:jc w:val="both"/>
        <w:rPr>
          <w:rFonts w:ascii="Times New Roman" w:hAnsi="Times New Roman" w:cs="Times New Roman"/>
          <w:spacing w:val="-2"/>
        </w:rPr>
      </w:pPr>
      <w:r w:rsidRPr="004604FA">
        <w:rPr>
          <w:rFonts w:ascii="Times New Roman" w:hAnsi="Times New Roman" w:cs="Times New Roman"/>
          <w:spacing w:val="-2"/>
        </w:rPr>
        <w:t>Lucrările s-au concentrat preponderent pe reabilitarea drumurilor locale degradate, cu impact direct asupra accesului la servicii publice și asupra siguranței rutiere în oraș, așa cum se poate observa în tabelul de mai jos.</w:t>
      </w:r>
    </w:p>
    <w:p w14:paraId="2090BDF5" w14:textId="6A040E99"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13</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Orașul Babadag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0969A70E" w14:textId="77777777" w:rsidTr="004604FA">
        <w:trPr>
          <w:jc w:val="center"/>
        </w:trPr>
        <w:tc>
          <w:tcPr>
            <w:tcW w:w="2057" w:type="pct"/>
            <w:shd w:val="clear" w:color="auto" w:fill="3B3838" w:themeFill="background2" w:themeFillShade="40"/>
            <w:vAlign w:val="center"/>
          </w:tcPr>
          <w:p w14:paraId="6BD4130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41EAE82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6BD82C1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5F20D3C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4F6B9AB2" w14:textId="77777777" w:rsidTr="004604FA">
        <w:trPr>
          <w:jc w:val="center"/>
        </w:trPr>
        <w:tc>
          <w:tcPr>
            <w:tcW w:w="2057" w:type="pct"/>
            <w:shd w:val="clear" w:color="auto" w:fill="E7E6E6" w:themeFill="background2"/>
            <w:vAlign w:val="center"/>
          </w:tcPr>
          <w:p w14:paraId="353A802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strada Valea Teilor, oraș Babadag, județul Tulcea</w:t>
            </w:r>
          </w:p>
        </w:tc>
        <w:tc>
          <w:tcPr>
            <w:tcW w:w="1246" w:type="pct"/>
            <w:shd w:val="clear" w:color="auto" w:fill="E7E6E6" w:themeFill="background2"/>
            <w:vAlign w:val="center"/>
          </w:tcPr>
          <w:p w14:paraId="2054321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59134E5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4B218B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650.090</w:t>
            </w:r>
          </w:p>
        </w:tc>
      </w:tr>
      <w:tr w:rsidR="00AF66BB" w:rsidRPr="007D3D4F" w14:paraId="5D9510A9" w14:textId="77777777" w:rsidTr="004604FA">
        <w:trPr>
          <w:jc w:val="center"/>
        </w:trPr>
        <w:tc>
          <w:tcPr>
            <w:tcW w:w="2057" w:type="pct"/>
            <w:shd w:val="clear" w:color="auto" w:fill="E7E6E6" w:themeFill="background2"/>
            <w:vAlign w:val="center"/>
          </w:tcPr>
          <w:p w14:paraId="6E1A738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Lucrări de asfaltare str. Stefan cel Mare, str. Mihail Kogălniceanu, str. Ghe. Lazar, str. Cernei, oraș Babadag, județul Tulcea</w:t>
            </w:r>
          </w:p>
        </w:tc>
        <w:tc>
          <w:tcPr>
            <w:tcW w:w="1246" w:type="pct"/>
            <w:shd w:val="clear" w:color="auto" w:fill="E7E6E6" w:themeFill="background2"/>
            <w:vAlign w:val="center"/>
          </w:tcPr>
          <w:p w14:paraId="07D0071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52AC1A6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F7CB0B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591.843,00</w:t>
            </w:r>
          </w:p>
        </w:tc>
      </w:tr>
      <w:tr w:rsidR="00AF66BB" w:rsidRPr="007D3D4F" w14:paraId="31380C4A" w14:textId="77777777" w:rsidTr="004604FA">
        <w:trPr>
          <w:jc w:val="center"/>
        </w:trPr>
        <w:tc>
          <w:tcPr>
            <w:tcW w:w="2057" w:type="pct"/>
            <w:shd w:val="clear" w:color="auto" w:fill="E7E6E6" w:themeFill="background2"/>
            <w:vAlign w:val="center"/>
          </w:tcPr>
          <w:p w14:paraId="3AAD009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sistem rutier oraș Babadag, județul Tulcea</w:t>
            </w:r>
          </w:p>
        </w:tc>
        <w:tc>
          <w:tcPr>
            <w:tcW w:w="1246" w:type="pct"/>
            <w:shd w:val="clear" w:color="auto" w:fill="E7E6E6" w:themeFill="background2"/>
            <w:vAlign w:val="center"/>
          </w:tcPr>
          <w:p w14:paraId="19FD12A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1CC14A1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E4326E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3.156.520,78</w:t>
            </w:r>
          </w:p>
        </w:tc>
      </w:tr>
      <w:tr w:rsidR="00AF66BB" w:rsidRPr="007D3D4F" w14:paraId="032B6C51" w14:textId="77777777" w:rsidTr="004604FA">
        <w:trPr>
          <w:jc w:val="center"/>
        </w:trPr>
        <w:tc>
          <w:tcPr>
            <w:tcW w:w="2057" w:type="pct"/>
            <w:shd w:val="clear" w:color="auto" w:fill="E7E6E6" w:themeFill="background2"/>
            <w:vAlign w:val="center"/>
          </w:tcPr>
          <w:p w14:paraId="4E3C385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Lucrări asfaltare str. Stejarului, str. Rahovei, str. Gării, str. Ion Nițescu, oraș Babadag, județul Tulcea</w:t>
            </w:r>
          </w:p>
        </w:tc>
        <w:tc>
          <w:tcPr>
            <w:tcW w:w="1246" w:type="pct"/>
            <w:shd w:val="clear" w:color="auto" w:fill="E7E6E6" w:themeFill="background2"/>
            <w:vAlign w:val="center"/>
          </w:tcPr>
          <w:p w14:paraId="774A4A0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7807DCD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0B10C2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2.580.435,00</w:t>
            </w:r>
          </w:p>
        </w:tc>
      </w:tr>
      <w:tr w:rsidR="00AF66BB" w:rsidRPr="007D3D4F" w14:paraId="1F336131" w14:textId="77777777" w:rsidTr="004604FA">
        <w:trPr>
          <w:jc w:val="center"/>
        </w:trPr>
        <w:tc>
          <w:tcPr>
            <w:tcW w:w="2057" w:type="pct"/>
            <w:shd w:val="clear" w:color="auto" w:fill="E7E6E6" w:themeFill="background2"/>
            <w:vAlign w:val="center"/>
          </w:tcPr>
          <w:p w14:paraId="33E70B7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Amenajare trotuare str. Republicii și str. Mihai Viteazu, oraș Babadag, județul Tulcea</w:t>
            </w:r>
          </w:p>
        </w:tc>
        <w:tc>
          <w:tcPr>
            <w:tcW w:w="1246" w:type="pct"/>
            <w:shd w:val="clear" w:color="auto" w:fill="E7E6E6" w:themeFill="background2"/>
            <w:vAlign w:val="center"/>
          </w:tcPr>
          <w:p w14:paraId="41B0666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755131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5C9865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2.939.203</w:t>
            </w:r>
          </w:p>
        </w:tc>
      </w:tr>
      <w:tr w:rsidR="00AF66BB" w:rsidRPr="007D3D4F" w14:paraId="4B2503CC" w14:textId="77777777" w:rsidTr="004604FA">
        <w:trPr>
          <w:jc w:val="center"/>
        </w:trPr>
        <w:tc>
          <w:tcPr>
            <w:tcW w:w="2057" w:type="pct"/>
            <w:shd w:val="clear" w:color="auto" w:fill="E7E6E6" w:themeFill="background2"/>
            <w:vAlign w:val="center"/>
          </w:tcPr>
          <w:p w14:paraId="1124676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Lucrări asfaltare str. Vlad Țepeș, Gheorghe Lazar, str. Măcriș, str. Eternității, oraș Babadag, jud Tulcea</w:t>
            </w:r>
          </w:p>
        </w:tc>
        <w:tc>
          <w:tcPr>
            <w:tcW w:w="1246" w:type="pct"/>
            <w:shd w:val="clear" w:color="auto" w:fill="E7E6E6" w:themeFill="background2"/>
            <w:vAlign w:val="center"/>
          </w:tcPr>
          <w:p w14:paraId="3C9E87C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8CC603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395212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4.301.788</w:t>
            </w:r>
          </w:p>
        </w:tc>
      </w:tr>
      <w:tr w:rsidR="00AF66BB" w:rsidRPr="007D3D4F" w14:paraId="58602082" w14:textId="77777777" w:rsidTr="004604FA">
        <w:trPr>
          <w:jc w:val="center"/>
        </w:trPr>
        <w:tc>
          <w:tcPr>
            <w:tcW w:w="2057" w:type="pct"/>
            <w:shd w:val="clear" w:color="auto" w:fill="E7E6E6" w:themeFill="background2"/>
            <w:vAlign w:val="center"/>
          </w:tcPr>
          <w:p w14:paraId="660F78E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Lucrări asfaltare strada Daciei, strada Vasile Lupu, strada Vasile Alecsandri, Oraș Babadag, Județul Tulcea</w:t>
            </w:r>
          </w:p>
        </w:tc>
        <w:tc>
          <w:tcPr>
            <w:tcW w:w="1246" w:type="pct"/>
            <w:shd w:val="clear" w:color="auto" w:fill="E7E6E6" w:themeFill="background2"/>
            <w:vAlign w:val="center"/>
          </w:tcPr>
          <w:p w14:paraId="7A9E474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521575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B1FA741"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1.072.304</w:t>
            </w:r>
          </w:p>
        </w:tc>
      </w:tr>
      <w:tr w:rsidR="00AF66BB" w:rsidRPr="007D3D4F" w14:paraId="612A5147" w14:textId="77777777" w:rsidTr="004604FA">
        <w:trPr>
          <w:jc w:val="center"/>
        </w:trPr>
        <w:tc>
          <w:tcPr>
            <w:tcW w:w="2057" w:type="pct"/>
            <w:shd w:val="clear" w:color="auto" w:fill="E7E6E6" w:themeFill="background2"/>
            <w:vAlign w:val="center"/>
          </w:tcPr>
          <w:p w14:paraId="7ACC086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Lucrări asfaltare strada Fabricii, str. Florilor, str. Morii, str. Aurel Vlaicu, str. Pavel Gheorghe, str. Plavat (parțial), Oraș Babadag, Județul Tulcea</w:t>
            </w:r>
          </w:p>
        </w:tc>
        <w:tc>
          <w:tcPr>
            <w:tcW w:w="1246" w:type="pct"/>
            <w:shd w:val="clear" w:color="auto" w:fill="E7E6E6" w:themeFill="background2"/>
            <w:vAlign w:val="center"/>
          </w:tcPr>
          <w:p w14:paraId="006AFD7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38B3C0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F8A214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1.158.732</w:t>
            </w:r>
          </w:p>
        </w:tc>
      </w:tr>
      <w:tr w:rsidR="00AF66BB" w:rsidRPr="007D3D4F" w14:paraId="25E11ED2" w14:textId="77777777" w:rsidTr="004604FA">
        <w:trPr>
          <w:jc w:val="center"/>
        </w:trPr>
        <w:tc>
          <w:tcPr>
            <w:tcW w:w="2057" w:type="pct"/>
            <w:shd w:val="clear" w:color="auto" w:fill="E7E6E6" w:themeFill="background2"/>
            <w:vAlign w:val="center"/>
          </w:tcPr>
          <w:p w14:paraId="2F7CFBC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Lucrări construire pod, intersecția str. Florilor-str. Avram Iancu din Orașul Babadag, județul Tulcea</w:t>
            </w:r>
          </w:p>
        </w:tc>
        <w:tc>
          <w:tcPr>
            <w:tcW w:w="1246" w:type="pct"/>
            <w:shd w:val="clear" w:color="auto" w:fill="E7E6E6" w:themeFill="background2"/>
            <w:vAlign w:val="center"/>
          </w:tcPr>
          <w:p w14:paraId="68D2ECE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7ED8742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0ECC22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665.100</w:t>
            </w:r>
          </w:p>
        </w:tc>
      </w:tr>
      <w:tr w:rsidR="00AF66BB" w:rsidRPr="007D3D4F" w14:paraId="70312B52" w14:textId="77777777" w:rsidTr="004604FA">
        <w:trPr>
          <w:jc w:val="center"/>
        </w:trPr>
        <w:tc>
          <w:tcPr>
            <w:tcW w:w="2057" w:type="pct"/>
            <w:shd w:val="clear" w:color="auto" w:fill="E7E6E6" w:themeFill="background2"/>
            <w:vAlign w:val="center"/>
          </w:tcPr>
          <w:p w14:paraId="4868312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Lucrări construire pod, intersecția str. Pavel Gheorghe-str. Plavat din Orașul Babadag, județul Tulcea</w:t>
            </w:r>
          </w:p>
        </w:tc>
        <w:tc>
          <w:tcPr>
            <w:tcW w:w="1246" w:type="pct"/>
            <w:shd w:val="clear" w:color="auto" w:fill="E7E6E6" w:themeFill="background2"/>
            <w:vAlign w:val="center"/>
          </w:tcPr>
          <w:p w14:paraId="6032C7B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172383F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889F96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1.078.638</w:t>
            </w:r>
          </w:p>
        </w:tc>
      </w:tr>
      <w:tr w:rsidR="00AF66BB" w:rsidRPr="007D3D4F" w14:paraId="08A00523" w14:textId="77777777" w:rsidTr="004604FA">
        <w:trPr>
          <w:jc w:val="center"/>
        </w:trPr>
        <w:tc>
          <w:tcPr>
            <w:tcW w:w="4082" w:type="pct"/>
            <w:gridSpan w:val="3"/>
            <w:shd w:val="clear" w:color="auto" w:fill="E7E6E6" w:themeFill="background2"/>
            <w:vAlign w:val="center"/>
          </w:tcPr>
          <w:p w14:paraId="2957D942" w14:textId="77777777" w:rsidR="00AF66BB" w:rsidRPr="007D3D4F" w:rsidRDefault="00AF66BB" w:rsidP="004C072F">
            <w:pPr>
              <w:spacing w:before="120" w:after="12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Total</w:t>
            </w:r>
          </w:p>
        </w:tc>
        <w:tc>
          <w:tcPr>
            <w:tcW w:w="918" w:type="pct"/>
            <w:shd w:val="clear" w:color="auto" w:fill="E7E6E6" w:themeFill="background2"/>
            <w:vAlign w:val="center"/>
          </w:tcPr>
          <w:p w14:paraId="2A36852E" w14:textId="77777777" w:rsidR="00AF66BB" w:rsidRPr="007D3D4F" w:rsidRDefault="00AF66BB" w:rsidP="004C072F">
            <w:pPr>
              <w:spacing w:before="120" w:after="120"/>
              <w:contextualSpacing/>
              <w:jc w:val="center"/>
              <w:rPr>
                <w:rFonts w:ascii="Times New Roman" w:hAnsi="Times New Roman" w:cs="Times New Roman"/>
                <w:b/>
                <w:bCs/>
                <w:color w:val="000000"/>
                <w:sz w:val="20"/>
                <w:szCs w:val="20"/>
              </w:rPr>
            </w:pPr>
            <w:r w:rsidRPr="007D3D4F">
              <w:rPr>
                <w:rFonts w:ascii="Times New Roman" w:hAnsi="Times New Roman" w:cs="Times New Roman"/>
                <w:b/>
                <w:bCs/>
                <w:color w:val="000000"/>
                <w:sz w:val="20"/>
                <w:szCs w:val="20"/>
              </w:rPr>
              <w:t>18.194.654</w:t>
            </w:r>
          </w:p>
        </w:tc>
      </w:tr>
    </w:tbl>
    <w:p w14:paraId="7DF1D7DE"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1F35CC7"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lastRenderedPageBreak/>
        <w:t>În comuna Baia au fost implementate 4 proiecte finanțate prin PNDL I și II, având ca scop modernizarea infrastructurii rutiere locale. Valoarea totală a investițiilor a depășit 15 milioane lei. Intervențiile au vizat atât drumuri de interes comunal și județean (DC 21 și DC 77), cât și străzile din interiorul localităților componente (Baia, Camena și Ceamurlia de Sus). Investițiile au contribuit semnificativ la creșterea accesibilității în zonă și la îmbunătățirea condițiilor de mobilitate pentru locuitori, facilitând legătura cu rutele regionale și cu localitățile învecinate.</w:t>
      </w:r>
    </w:p>
    <w:p w14:paraId="303B2552" w14:textId="6A74919A"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14</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Baia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43"/>
        <w:gridCol w:w="2329"/>
        <w:gridCol w:w="1456"/>
        <w:gridCol w:w="1716"/>
      </w:tblGrid>
      <w:tr w:rsidR="00AF66BB" w:rsidRPr="007D3D4F" w14:paraId="39344404" w14:textId="77777777" w:rsidTr="004604FA">
        <w:trPr>
          <w:jc w:val="center"/>
        </w:trPr>
        <w:tc>
          <w:tcPr>
            <w:tcW w:w="2057" w:type="pct"/>
            <w:shd w:val="clear" w:color="auto" w:fill="3B3838" w:themeFill="background2" w:themeFillShade="40"/>
            <w:vAlign w:val="center"/>
          </w:tcPr>
          <w:p w14:paraId="68138B4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50D2665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32AC67F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1B1CC16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5245A7DD" w14:textId="77777777" w:rsidTr="004604FA">
        <w:trPr>
          <w:jc w:val="center"/>
        </w:trPr>
        <w:tc>
          <w:tcPr>
            <w:tcW w:w="2057" w:type="pct"/>
            <w:shd w:val="clear" w:color="auto" w:fill="E7E6E6" w:themeFill="background2"/>
            <w:vAlign w:val="center"/>
          </w:tcPr>
          <w:p w14:paraId="25221EC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și modernizare DC 77, Baia - Panduru, km 0+005 - 5+000, comuna Baia</w:t>
            </w:r>
          </w:p>
        </w:tc>
        <w:tc>
          <w:tcPr>
            <w:tcW w:w="1246" w:type="pct"/>
            <w:shd w:val="clear" w:color="auto" w:fill="E7E6E6" w:themeFill="background2"/>
            <w:vAlign w:val="center"/>
          </w:tcPr>
          <w:p w14:paraId="290288A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61419E3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D5FE0F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1.459.972,27</w:t>
            </w:r>
          </w:p>
        </w:tc>
      </w:tr>
      <w:tr w:rsidR="00AF66BB" w:rsidRPr="007D3D4F" w14:paraId="7ABDBDD7" w14:textId="77777777" w:rsidTr="004604FA">
        <w:trPr>
          <w:jc w:val="center"/>
        </w:trPr>
        <w:tc>
          <w:tcPr>
            <w:tcW w:w="2057" w:type="pct"/>
            <w:shd w:val="clear" w:color="auto" w:fill="E7E6E6" w:themeFill="background2"/>
            <w:vAlign w:val="center"/>
          </w:tcPr>
          <w:p w14:paraId="55459E1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și modernizare DC 21, intersecție DN 22 D - Camena, km 0+600 - 3+100, comuna Baia</w:t>
            </w:r>
          </w:p>
        </w:tc>
        <w:tc>
          <w:tcPr>
            <w:tcW w:w="1246" w:type="pct"/>
            <w:shd w:val="clear" w:color="auto" w:fill="E7E6E6" w:themeFill="background2"/>
            <w:vAlign w:val="center"/>
          </w:tcPr>
          <w:p w14:paraId="6ACF3CF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2B628A5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E616DC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763.585,22</w:t>
            </w:r>
          </w:p>
        </w:tc>
      </w:tr>
      <w:tr w:rsidR="00AF66BB" w:rsidRPr="007D3D4F" w14:paraId="488AF6B3" w14:textId="77777777" w:rsidTr="004604FA">
        <w:trPr>
          <w:jc w:val="center"/>
        </w:trPr>
        <w:tc>
          <w:tcPr>
            <w:tcW w:w="2057" w:type="pct"/>
            <w:shd w:val="clear" w:color="auto" w:fill="E7E6E6" w:themeFill="background2"/>
            <w:vAlign w:val="center"/>
          </w:tcPr>
          <w:p w14:paraId="5C28CAD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și reabilitare tramă stradală în intravilanul localității Ceamurlia de Sus, comuna Baia, jud Tulcea</w:t>
            </w:r>
          </w:p>
        </w:tc>
        <w:tc>
          <w:tcPr>
            <w:tcW w:w="1246" w:type="pct"/>
            <w:shd w:val="clear" w:color="auto" w:fill="E7E6E6" w:themeFill="background2"/>
            <w:vAlign w:val="center"/>
          </w:tcPr>
          <w:p w14:paraId="23FA0C3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4AB48F9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BF4C73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9.021.623</w:t>
            </w:r>
          </w:p>
        </w:tc>
      </w:tr>
      <w:tr w:rsidR="00AF66BB" w:rsidRPr="007D3D4F" w14:paraId="474C674C" w14:textId="77777777" w:rsidTr="004604FA">
        <w:trPr>
          <w:jc w:val="center"/>
        </w:trPr>
        <w:tc>
          <w:tcPr>
            <w:tcW w:w="2057" w:type="pct"/>
            <w:shd w:val="clear" w:color="auto" w:fill="E7E6E6" w:themeFill="background2"/>
            <w:vAlign w:val="center"/>
          </w:tcPr>
          <w:p w14:paraId="1626FE9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străzi in localitatea Camena, comuna Baia, jud Tulcea</w:t>
            </w:r>
          </w:p>
        </w:tc>
        <w:tc>
          <w:tcPr>
            <w:tcW w:w="1246" w:type="pct"/>
            <w:shd w:val="clear" w:color="auto" w:fill="E7E6E6" w:themeFill="background2"/>
            <w:vAlign w:val="center"/>
          </w:tcPr>
          <w:p w14:paraId="71014D8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5A08251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58480C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3.756.216</w:t>
            </w:r>
          </w:p>
        </w:tc>
      </w:tr>
      <w:tr w:rsidR="00AF66BB" w:rsidRPr="007D3D4F" w14:paraId="2514A399" w14:textId="77777777" w:rsidTr="00C309C6">
        <w:trPr>
          <w:jc w:val="center"/>
        </w:trPr>
        <w:tc>
          <w:tcPr>
            <w:tcW w:w="4082" w:type="pct"/>
            <w:gridSpan w:val="3"/>
            <w:shd w:val="clear" w:color="auto" w:fill="767171" w:themeFill="background2" w:themeFillShade="80"/>
            <w:vAlign w:val="center"/>
          </w:tcPr>
          <w:p w14:paraId="592399C3"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45CEAECC"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15.001.396,49</w:t>
            </w:r>
          </w:p>
        </w:tc>
      </w:tr>
    </w:tbl>
    <w:p w14:paraId="23D4F61B"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3BF23543"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În comuna Beidaud au fost implementate 4 proiecte în cadrul Programului Național de Dezvoltare Locală, cu o valoare totală de peste 7,2 milioane lei. Trei dintre acestea au fost finanțate prin PNDL I și unul prin PNDL II. Intervențiile s-au concentrat pe reabilitarea și modernizarea drumurilor comunale și a străzilor din localitate, contribuind la îmbunătățirea conectivității locale și la facilitarea accesului către zonele adiacente, inclusiv către localitatea Sarighiol de Deal. Proiectele reflectă un efort susținut de a reduce decalajele de infrastructură și de a asigura condiții de circulație mai bune pentru locuitorii comunei.</w:t>
      </w:r>
    </w:p>
    <w:p w14:paraId="55F221CE" w14:textId="2F2536F7"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15</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Beidaud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43"/>
        <w:gridCol w:w="2329"/>
        <w:gridCol w:w="1456"/>
        <w:gridCol w:w="1716"/>
      </w:tblGrid>
      <w:tr w:rsidR="00AF66BB" w:rsidRPr="007D3D4F" w14:paraId="7B2065CC" w14:textId="77777777" w:rsidTr="00C309C6">
        <w:trPr>
          <w:jc w:val="center"/>
        </w:trPr>
        <w:tc>
          <w:tcPr>
            <w:tcW w:w="2057" w:type="pct"/>
            <w:shd w:val="clear" w:color="auto" w:fill="3B3838" w:themeFill="background2" w:themeFillShade="40"/>
            <w:vAlign w:val="center"/>
          </w:tcPr>
          <w:p w14:paraId="4507CD3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575816E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6973CC5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1A744FA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07888F6F" w14:textId="77777777" w:rsidTr="00C309C6">
        <w:trPr>
          <w:jc w:val="center"/>
        </w:trPr>
        <w:tc>
          <w:tcPr>
            <w:tcW w:w="2057" w:type="pct"/>
            <w:shd w:val="clear" w:color="auto" w:fill="E7E6E6" w:themeFill="background2"/>
            <w:vAlign w:val="center"/>
          </w:tcPr>
          <w:p w14:paraId="24EE42C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DC 24 Neatârnarea ‐ Sarighiol de Deal 0+000‐6+000, 6km</w:t>
            </w:r>
          </w:p>
        </w:tc>
        <w:tc>
          <w:tcPr>
            <w:tcW w:w="1246" w:type="pct"/>
            <w:shd w:val="clear" w:color="auto" w:fill="E7E6E6" w:themeFill="background2"/>
            <w:vAlign w:val="center"/>
          </w:tcPr>
          <w:p w14:paraId="638506A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015C917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744DAB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1.178.160</w:t>
            </w:r>
          </w:p>
        </w:tc>
      </w:tr>
      <w:tr w:rsidR="00AF66BB" w:rsidRPr="007D3D4F" w14:paraId="59FAD2DE" w14:textId="77777777" w:rsidTr="00C309C6">
        <w:trPr>
          <w:jc w:val="center"/>
        </w:trPr>
        <w:tc>
          <w:tcPr>
            <w:tcW w:w="2057" w:type="pct"/>
            <w:shd w:val="clear" w:color="auto" w:fill="E7E6E6" w:themeFill="background2"/>
            <w:vAlign w:val="center"/>
          </w:tcPr>
          <w:p w14:paraId="1CF33D3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drum comunal DC 26 pe teritoriul comunei Beidaud, județul Tulcea</w:t>
            </w:r>
          </w:p>
        </w:tc>
        <w:tc>
          <w:tcPr>
            <w:tcW w:w="1246" w:type="pct"/>
            <w:shd w:val="clear" w:color="auto" w:fill="E7E6E6" w:themeFill="background2"/>
            <w:vAlign w:val="center"/>
          </w:tcPr>
          <w:p w14:paraId="3A7F263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3AE8F1C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590402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105.882,35</w:t>
            </w:r>
          </w:p>
        </w:tc>
      </w:tr>
      <w:tr w:rsidR="00AF66BB" w:rsidRPr="007D3D4F" w14:paraId="6D9CCB15" w14:textId="77777777" w:rsidTr="00C309C6">
        <w:trPr>
          <w:jc w:val="center"/>
        </w:trPr>
        <w:tc>
          <w:tcPr>
            <w:tcW w:w="2057" w:type="pct"/>
            <w:shd w:val="clear" w:color="auto" w:fill="E7E6E6" w:themeFill="background2"/>
            <w:vAlign w:val="center"/>
          </w:tcPr>
          <w:p w14:paraId="0678644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drum comunal DC 26 între km 0+607 și km 2+284,65, comuna Beidaud, județul Tulcea</w:t>
            </w:r>
          </w:p>
        </w:tc>
        <w:tc>
          <w:tcPr>
            <w:tcW w:w="1246" w:type="pct"/>
            <w:shd w:val="clear" w:color="auto" w:fill="E7E6E6" w:themeFill="background2"/>
            <w:vAlign w:val="center"/>
          </w:tcPr>
          <w:p w14:paraId="53AC5C5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165EB62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A7E62B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1.386.245,76</w:t>
            </w:r>
          </w:p>
        </w:tc>
      </w:tr>
      <w:tr w:rsidR="00AF66BB" w:rsidRPr="007D3D4F" w14:paraId="3396777F" w14:textId="77777777" w:rsidTr="00C309C6">
        <w:trPr>
          <w:jc w:val="center"/>
        </w:trPr>
        <w:tc>
          <w:tcPr>
            <w:tcW w:w="2057" w:type="pct"/>
            <w:shd w:val="clear" w:color="auto" w:fill="E7E6E6" w:themeFill="background2"/>
            <w:vAlign w:val="center"/>
          </w:tcPr>
          <w:p w14:paraId="3327D9F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Îmbunătățire străzi de pământ prin asfaltare în localitatea Sarighiol de Deal, jud Tulcea</w:t>
            </w:r>
          </w:p>
        </w:tc>
        <w:tc>
          <w:tcPr>
            <w:tcW w:w="1246" w:type="pct"/>
            <w:shd w:val="clear" w:color="auto" w:fill="E7E6E6" w:themeFill="background2"/>
            <w:vAlign w:val="center"/>
          </w:tcPr>
          <w:p w14:paraId="1AE1C3F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62273EB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69D822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4.618.316</w:t>
            </w:r>
          </w:p>
        </w:tc>
      </w:tr>
      <w:tr w:rsidR="00AF66BB" w:rsidRPr="007D3D4F" w14:paraId="559C3C56" w14:textId="77777777" w:rsidTr="00C309C6">
        <w:trPr>
          <w:jc w:val="center"/>
        </w:trPr>
        <w:tc>
          <w:tcPr>
            <w:tcW w:w="4082" w:type="pct"/>
            <w:gridSpan w:val="3"/>
            <w:shd w:val="clear" w:color="auto" w:fill="767171" w:themeFill="background2" w:themeFillShade="80"/>
            <w:vAlign w:val="center"/>
          </w:tcPr>
          <w:p w14:paraId="2E730380"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0D5A2077"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7.288.604</w:t>
            </w:r>
          </w:p>
        </w:tc>
      </w:tr>
    </w:tbl>
    <w:p w14:paraId="65C3978A"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1B998358"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În comuna Beștepe a fost implementat un proiect de modernizare a infrastructurii rutiere prin intermediul PNDL II, cu o valoare totală de aproximativ 4,8 milioane lei. Intervenția a vizat îmbunătățirea condițiilor de circulație în interiorul localității, contribuind la creșterea accesibilității și la îmbunătățirea calității vieții pentru locuitorii comunei.</w:t>
      </w:r>
    </w:p>
    <w:p w14:paraId="6B508442" w14:textId="4DF89298"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16</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Beștepe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43"/>
        <w:gridCol w:w="2329"/>
        <w:gridCol w:w="1456"/>
        <w:gridCol w:w="1716"/>
      </w:tblGrid>
      <w:tr w:rsidR="00AF66BB" w:rsidRPr="007D3D4F" w14:paraId="0BE5957E" w14:textId="77777777" w:rsidTr="00C309C6">
        <w:trPr>
          <w:jc w:val="center"/>
        </w:trPr>
        <w:tc>
          <w:tcPr>
            <w:tcW w:w="2057" w:type="pct"/>
            <w:shd w:val="clear" w:color="auto" w:fill="3B3838" w:themeFill="background2" w:themeFillShade="40"/>
            <w:vAlign w:val="center"/>
          </w:tcPr>
          <w:p w14:paraId="0AEEC82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05810A2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426E9A4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2820C30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1FEC6759" w14:textId="77777777" w:rsidTr="00C309C6">
        <w:trPr>
          <w:jc w:val="center"/>
        </w:trPr>
        <w:tc>
          <w:tcPr>
            <w:tcW w:w="2057" w:type="pct"/>
            <w:shd w:val="clear" w:color="auto" w:fill="E7E6E6" w:themeFill="background2"/>
            <w:vAlign w:val="center"/>
          </w:tcPr>
          <w:p w14:paraId="01A4C8F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drumuri în comuna Beștepe</w:t>
            </w:r>
          </w:p>
        </w:tc>
        <w:tc>
          <w:tcPr>
            <w:tcW w:w="1246" w:type="pct"/>
            <w:shd w:val="clear" w:color="auto" w:fill="E7E6E6" w:themeFill="background2"/>
            <w:vAlign w:val="center"/>
          </w:tcPr>
          <w:p w14:paraId="29BF269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5384DC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C0D290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4.835.999</w:t>
            </w:r>
          </w:p>
        </w:tc>
      </w:tr>
    </w:tbl>
    <w:p w14:paraId="4B458332"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4C6E20A"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În comuna Carcaliu a fost derulat un proiect de modernizare a infrastructurii rutiere prin Programul Național de Dezvoltare Locală II, cu o valoare totală de peste 18 milioane lei. Investiția a vizat îmbunătățirea rețelei de transport la nivel local, contribuind la creșterea conectivității și la facilitarea mobilității în interiorul comunei.</w:t>
      </w:r>
    </w:p>
    <w:p w14:paraId="1CDA8169" w14:textId="30AC8C89"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17</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Carcaliu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43"/>
        <w:gridCol w:w="2329"/>
        <w:gridCol w:w="1456"/>
        <w:gridCol w:w="1716"/>
      </w:tblGrid>
      <w:tr w:rsidR="00AF66BB" w:rsidRPr="007D3D4F" w14:paraId="4FF0549F" w14:textId="77777777" w:rsidTr="00C309C6">
        <w:trPr>
          <w:jc w:val="center"/>
        </w:trPr>
        <w:tc>
          <w:tcPr>
            <w:tcW w:w="2057" w:type="pct"/>
            <w:shd w:val="clear" w:color="auto" w:fill="3B3838" w:themeFill="background2" w:themeFillShade="40"/>
            <w:vAlign w:val="center"/>
          </w:tcPr>
          <w:p w14:paraId="05A3629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68097B8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4ED54AA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679EBE1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17FF2D9C" w14:textId="77777777" w:rsidTr="00C309C6">
        <w:trPr>
          <w:jc w:val="center"/>
        </w:trPr>
        <w:tc>
          <w:tcPr>
            <w:tcW w:w="2057" w:type="pct"/>
            <w:shd w:val="clear" w:color="auto" w:fill="E7E6E6" w:themeFill="background2"/>
            <w:vAlign w:val="center"/>
          </w:tcPr>
          <w:p w14:paraId="51EB3BC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infrastructură rutieră de transport, comuna Carcaliu, județul Tulcea</w:t>
            </w:r>
          </w:p>
        </w:tc>
        <w:tc>
          <w:tcPr>
            <w:tcW w:w="1246" w:type="pct"/>
            <w:shd w:val="clear" w:color="auto" w:fill="E7E6E6" w:themeFill="background2"/>
            <w:vAlign w:val="center"/>
          </w:tcPr>
          <w:p w14:paraId="4861A10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646B71E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8FE1F3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18.295.533</w:t>
            </w:r>
          </w:p>
        </w:tc>
      </w:tr>
    </w:tbl>
    <w:p w14:paraId="338583DA"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2420154B"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În comuna Casimcea au fost realizate patru proiecte de infrastructură rutieră prin intermediul Programului Național de Dezvoltare Locală, în ambele etape (PNDL I și II). Valoarea totală a investițiilor depășește 13,7 milioane lei. Proiectele au vizat modernizarea străzilor din localitățile componente – Casimcea, Corugea și Războieni – precum și amenajarea de trotuare, contribuind la creșterea siguranței pietonale și la îmbunătățirea condițiilor de mobilitate locală. Intervențiile reflectă o abordare echilibrată între modernizarea căilor de acces și îmbunătățirea infrastructurii urbane de bază.</w:t>
      </w:r>
    </w:p>
    <w:p w14:paraId="7DDDA294" w14:textId="0D33EB3A"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18</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Casimcea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43"/>
        <w:gridCol w:w="2329"/>
        <w:gridCol w:w="1456"/>
        <w:gridCol w:w="1716"/>
      </w:tblGrid>
      <w:tr w:rsidR="00AF66BB" w:rsidRPr="007D3D4F" w14:paraId="4470972B" w14:textId="77777777" w:rsidTr="00C309C6">
        <w:trPr>
          <w:jc w:val="center"/>
        </w:trPr>
        <w:tc>
          <w:tcPr>
            <w:tcW w:w="2057" w:type="pct"/>
            <w:shd w:val="clear" w:color="auto" w:fill="3B3838" w:themeFill="background2" w:themeFillShade="40"/>
            <w:vAlign w:val="center"/>
          </w:tcPr>
          <w:p w14:paraId="3AB2FAC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7F4B9D9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12E9F9B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351D69CC"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15564B35" w14:textId="77777777" w:rsidTr="00C309C6">
        <w:trPr>
          <w:jc w:val="center"/>
        </w:trPr>
        <w:tc>
          <w:tcPr>
            <w:tcW w:w="2057" w:type="pct"/>
            <w:shd w:val="clear" w:color="auto" w:fill="E7E6E6" w:themeFill="background2"/>
            <w:vAlign w:val="center"/>
          </w:tcPr>
          <w:p w14:paraId="2E64213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în localitatea Casimcea, comuna Casimcea, județul Tulcea</w:t>
            </w:r>
          </w:p>
        </w:tc>
        <w:tc>
          <w:tcPr>
            <w:tcW w:w="1246" w:type="pct"/>
            <w:shd w:val="clear" w:color="auto" w:fill="E7E6E6" w:themeFill="background2"/>
            <w:vAlign w:val="center"/>
          </w:tcPr>
          <w:p w14:paraId="525B179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0BA4E92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0923DB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1.194.910,59</w:t>
            </w:r>
          </w:p>
        </w:tc>
      </w:tr>
      <w:tr w:rsidR="00AF66BB" w:rsidRPr="007D3D4F" w14:paraId="435902C1" w14:textId="77777777" w:rsidTr="00C309C6">
        <w:trPr>
          <w:jc w:val="center"/>
        </w:trPr>
        <w:tc>
          <w:tcPr>
            <w:tcW w:w="2057" w:type="pct"/>
            <w:shd w:val="clear" w:color="auto" w:fill="E7E6E6" w:themeFill="background2"/>
            <w:vAlign w:val="center"/>
          </w:tcPr>
          <w:p w14:paraId="2A8FECC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în comuna Casimcea</w:t>
            </w:r>
          </w:p>
        </w:tc>
        <w:tc>
          <w:tcPr>
            <w:tcW w:w="1246" w:type="pct"/>
            <w:shd w:val="clear" w:color="auto" w:fill="E7E6E6" w:themeFill="background2"/>
            <w:vAlign w:val="center"/>
          </w:tcPr>
          <w:p w14:paraId="6E7C1EF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2ABC767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B19AEF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7.798.000,00</w:t>
            </w:r>
          </w:p>
        </w:tc>
      </w:tr>
      <w:tr w:rsidR="00AF66BB" w:rsidRPr="007D3D4F" w14:paraId="06EDB4D2" w14:textId="77777777" w:rsidTr="00C309C6">
        <w:trPr>
          <w:jc w:val="center"/>
        </w:trPr>
        <w:tc>
          <w:tcPr>
            <w:tcW w:w="2057" w:type="pct"/>
            <w:shd w:val="clear" w:color="auto" w:fill="E7E6E6" w:themeFill="background2"/>
            <w:vAlign w:val="center"/>
          </w:tcPr>
          <w:p w14:paraId="48CB909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străzi în localitățile Corugea și Războieni</w:t>
            </w:r>
          </w:p>
        </w:tc>
        <w:tc>
          <w:tcPr>
            <w:tcW w:w="1246" w:type="pct"/>
            <w:shd w:val="clear" w:color="auto" w:fill="E7E6E6" w:themeFill="background2"/>
            <w:vAlign w:val="center"/>
          </w:tcPr>
          <w:p w14:paraId="4476A89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172EFB2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066E86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4.168.309</w:t>
            </w:r>
          </w:p>
        </w:tc>
      </w:tr>
      <w:tr w:rsidR="00AF66BB" w:rsidRPr="007D3D4F" w14:paraId="7004358D" w14:textId="77777777" w:rsidTr="00C309C6">
        <w:trPr>
          <w:jc w:val="center"/>
        </w:trPr>
        <w:tc>
          <w:tcPr>
            <w:tcW w:w="2057" w:type="pct"/>
            <w:shd w:val="clear" w:color="auto" w:fill="E7E6E6" w:themeFill="background2"/>
            <w:vAlign w:val="center"/>
          </w:tcPr>
          <w:p w14:paraId="683E9F2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Înființare trotuare, Comuna Casimcea, jud. Tulcea</w:t>
            </w:r>
          </w:p>
        </w:tc>
        <w:tc>
          <w:tcPr>
            <w:tcW w:w="1246" w:type="pct"/>
            <w:shd w:val="clear" w:color="auto" w:fill="E7E6E6" w:themeFill="background2"/>
            <w:vAlign w:val="center"/>
          </w:tcPr>
          <w:p w14:paraId="456B77B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46DD788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964EDD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566.440</w:t>
            </w:r>
          </w:p>
        </w:tc>
      </w:tr>
      <w:tr w:rsidR="00AF66BB" w:rsidRPr="007D3D4F" w14:paraId="1C06FA37" w14:textId="77777777" w:rsidTr="00C309C6">
        <w:trPr>
          <w:jc w:val="center"/>
        </w:trPr>
        <w:tc>
          <w:tcPr>
            <w:tcW w:w="4082" w:type="pct"/>
            <w:gridSpan w:val="3"/>
            <w:shd w:val="clear" w:color="auto" w:fill="767171" w:themeFill="background2" w:themeFillShade="80"/>
            <w:vAlign w:val="center"/>
          </w:tcPr>
          <w:p w14:paraId="6C875F20"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20594709"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13.727.659,59</w:t>
            </w:r>
          </w:p>
        </w:tc>
      </w:tr>
    </w:tbl>
    <w:p w14:paraId="52B9D091"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5990FA63" w14:textId="77777777" w:rsidR="00333AE8" w:rsidRDefault="00333AE8" w:rsidP="004C072F">
      <w:pPr>
        <w:spacing w:before="120" w:after="120" w:line="240" w:lineRule="auto"/>
        <w:contextualSpacing/>
        <w:jc w:val="both"/>
        <w:rPr>
          <w:rFonts w:ascii="Times New Roman" w:hAnsi="Times New Roman" w:cs="Times New Roman"/>
        </w:rPr>
      </w:pPr>
    </w:p>
    <w:p w14:paraId="3D833A8B" w14:textId="10564B3C" w:rsidR="00AF66BB"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În comuna Ceamurlia de Jos au fost implementate trei proiecte prin PNDL I, cu o valoare cumulată de peste 12,3 milioane lei. Toate investițiile au vizat exclusiv reabilitarea și modernizarea infrastructurii rutiere, atât în interiorul localității principale, cât și pe drumurile de legătură către zonele adiacente. Aceste intervenții contribuie semnificativ la îmbunătățirea conectivității rutiere și a condițiilor de mobilitate locală, reflectând o abordare concentrată pe dezvoltarea rețelei de transport rutier comunal.</w:t>
      </w:r>
    </w:p>
    <w:p w14:paraId="7360B912" w14:textId="77777777" w:rsidR="00333AE8" w:rsidRDefault="00333AE8" w:rsidP="004C072F">
      <w:pPr>
        <w:spacing w:before="120" w:after="120" w:line="240" w:lineRule="auto"/>
        <w:contextualSpacing/>
        <w:jc w:val="both"/>
        <w:rPr>
          <w:rFonts w:ascii="Times New Roman" w:hAnsi="Times New Roman" w:cs="Times New Roman"/>
        </w:rPr>
      </w:pPr>
    </w:p>
    <w:p w14:paraId="4AE634BC" w14:textId="77777777" w:rsidR="00333AE8" w:rsidRDefault="00333AE8" w:rsidP="004C072F">
      <w:pPr>
        <w:spacing w:before="120" w:after="120" w:line="240" w:lineRule="auto"/>
        <w:contextualSpacing/>
        <w:jc w:val="both"/>
        <w:rPr>
          <w:rFonts w:ascii="Times New Roman" w:hAnsi="Times New Roman" w:cs="Times New Roman"/>
        </w:rPr>
      </w:pPr>
    </w:p>
    <w:p w14:paraId="6E69C79A" w14:textId="490BA06A"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19</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Ceamurlia de Jos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2F4840CB" w14:textId="77777777" w:rsidTr="00C309C6">
        <w:trPr>
          <w:trHeight w:val="63"/>
          <w:jc w:val="center"/>
        </w:trPr>
        <w:tc>
          <w:tcPr>
            <w:tcW w:w="2057" w:type="pct"/>
            <w:shd w:val="clear" w:color="auto" w:fill="3B3838" w:themeFill="background2" w:themeFillShade="40"/>
            <w:vAlign w:val="center"/>
          </w:tcPr>
          <w:p w14:paraId="6B1B485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10B42DD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6B5070E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0807D37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06C51A8A" w14:textId="77777777" w:rsidTr="00C309C6">
        <w:trPr>
          <w:jc w:val="center"/>
        </w:trPr>
        <w:tc>
          <w:tcPr>
            <w:tcW w:w="2057" w:type="pct"/>
            <w:shd w:val="clear" w:color="auto" w:fill="E7E6E6" w:themeFill="background2"/>
            <w:vAlign w:val="center"/>
          </w:tcPr>
          <w:p w14:paraId="01EA66F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si modernizare străzi în localitatea Ceamurlia de Jos, comuna Ceamurlia de Jos, județul Tulcea</w:t>
            </w:r>
          </w:p>
        </w:tc>
        <w:tc>
          <w:tcPr>
            <w:tcW w:w="1246" w:type="pct"/>
            <w:shd w:val="clear" w:color="auto" w:fill="E7E6E6" w:themeFill="background2"/>
            <w:vAlign w:val="center"/>
          </w:tcPr>
          <w:p w14:paraId="187BF21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6602005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5D4FB9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6.831.560</w:t>
            </w:r>
          </w:p>
        </w:tc>
      </w:tr>
      <w:tr w:rsidR="00AF66BB" w:rsidRPr="007D3D4F" w14:paraId="073E3744" w14:textId="77777777" w:rsidTr="00C309C6">
        <w:trPr>
          <w:jc w:val="center"/>
        </w:trPr>
        <w:tc>
          <w:tcPr>
            <w:tcW w:w="2057" w:type="pct"/>
            <w:shd w:val="clear" w:color="auto" w:fill="E7E6E6" w:themeFill="background2"/>
            <w:vAlign w:val="center"/>
          </w:tcPr>
          <w:p w14:paraId="5297E0A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si modernizare străzi în localitatea Ceamurlia de Jos, comuna Ceamurlia de Jos, județul Tulcea</w:t>
            </w:r>
          </w:p>
        </w:tc>
        <w:tc>
          <w:tcPr>
            <w:tcW w:w="1246" w:type="pct"/>
            <w:shd w:val="clear" w:color="auto" w:fill="E7E6E6" w:themeFill="background2"/>
            <w:vAlign w:val="center"/>
          </w:tcPr>
          <w:p w14:paraId="279202D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2783D75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7E8C0E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3.318.124,17</w:t>
            </w:r>
          </w:p>
        </w:tc>
      </w:tr>
      <w:tr w:rsidR="00AF66BB" w:rsidRPr="007D3D4F" w14:paraId="7E44B7EC" w14:textId="77777777" w:rsidTr="00C309C6">
        <w:trPr>
          <w:jc w:val="center"/>
        </w:trPr>
        <w:tc>
          <w:tcPr>
            <w:tcW w:w="2057" w:type="pct"/>
            <w:shd w:val="clear" w:color="auto" w:fill="E7E6E6" w:themeFill="background2"/>
            <w:vAlign w:val="center"/>
          </w:tcPr>
          <w:p w14:paraId="78DAE62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drum comunal DC 63, Ceamurlia de Jos - Gara, comuna Ceamurlia de Jos, județul Tulcea</w:t>
            </w:r>
          </w:p>
        </w:tc>
        <w:tc>
          <w:tcPr>
            <w:tcW w:w="1246" w:type="pct"/>
            <w:shd w:val="clear" w:color="auto" w:fill="E7E6E6" w:themeFill="background2"/>
            <w:vAlign w:val="center"/>
          </w:tcPr>
          <w:p w14:paraId="00BC0D5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495935E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E758A3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2.187.237,93</w:t>
            </w:r>
          </w:p>
        </w:tc>
      </w:tr>
      <w:tr w:rsidR="00AF66BB" w:rsidRPr="007D3D4F" w14:paraId="2607659D" w14:textId="77777777" w:rsidTr="00C309C6">
        <w:trPr>
          <w:jc w:val="center"/>
        </w:trPr>
        <w:tc>
          <w:tcPr>
            <w:tcW w:w="4082" w:type="pct"/>
            <w:gridSpan w:val="3"/>
            <w:shd w:val="clear" w:color="auto" w:fill="767171" w:themeFill="background2" w:themeFillShade="80"/>
            <w:vAlign w:val="center"/>
          </w:tcPr>
          <w:p w14:paraId="2D50C575"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0EB3E290"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12.336.922,10</w:t>
            </w:r>
          </w:p>
        </w:tc>
      </w:tr>
    </w:tbl>
    <w:p w14:paraId="04D1ED77"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048F8EE7" w14:textId="77777777" w:rsidR="00AF66BB" w:rsidRPr="007D3D4F" w:rsidRDefault="00AF66BB" w:rsidP="004C072F">
      <w:pPr>
        <w:spacing w:before="120" w:after="120" w:line="240" w:lineRule="auto"/>
        <w:contextualSpacing/>
        <w:jc w:val="both"/>
        <w:rPr>
          <w:rFonts w:ascii="Times New Roman" w:hAnsi="Times New Roman" w:cs="Times New Roman"/>
        </w:rPr>
      </w:pPr>
      <w:r w:rsidRPr="007D3D4F">
        <w:rPr>
          <w:rFonts w:ascii="Times New Roman" w:hAnsi="Times New Roman" w:cs="Times New Roman"/>
        </w:rPr>
        <w:t>În comuna Cerna au fost implementate două proiecte importante de infrastructură rutieră prin intermediul PNDL I și II, cu o valoare totală de peste 32 milioane lei. Investițiile au vizat atât amenajarea drumurilor locale prin metode alternative, cât și asfaltarea unor sectoare importante de drum. Intervențiile contribuie la creșterea accesibilității în zonă, precum și la îmbunătățirea condițiilor de transport pentru locuitori și pentru traficul de tranzit.</w:t>
      </w:r>
    </w:p>
    <w:p w14:paraId="1269EEE4" w14:textId="673F4796"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20</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Cerna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62ED7C27" w14:textId="77777777" w:rsidTr="00C309C6">
        <w:trPr>
          <w:trHeight w:val="63"/>
          <w:jc w:val="center"/>
        </w:trPr>
        <w:tc>
          <w:tcPr>
            <w:tcW w:w="2057" w:type="pct"/>
            <w:shd w:val="clear" w:color="auto" w:fill="3B3838" w:themeFill="background2" w:themeFillShade="40"/>
            <w:vAlign w:val="center"/>
          </w:tcPr>
          <w:p w14:paraId="04FE526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2BAD293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2D13FCD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72D7FC0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6500859D" w14:textId="77777777" w:rsidTr="00C309C6">
        <w:trPr>
          <w:jc w:val="center"/>
        </w:trPr>
        <w:tc>
          <w:tcPr>
            <w:tcW w:w="2057" w:type="pct"/>
            <w:shd w:val="clear" w:color="auto" w:fill="E7E6E6" w:themeFill="background2"/>
            <w:vAlign w:val="center"/>
          </w:tcPr>
          <w:p w14:paraId="4BC0C0B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Amenajarea prin metode alternative a drumurilor de interes local din comuna Cerna, județul Tulcea, 10,813 km</w:t>
            </w:r>
          </w:p>
        </w:tc>
        <w:tc>
          <w:tcPr>
            <w:tcW w:w="1246" w:type="pct"/>
            <w:shd w:val="clear" w:color="auto" w:fill="E7E6E6" w:themeFill="background2"/>
            <w:vAlign w:val="center"/>
          </w:tcPr>
          <w:p w14:paraId="3CAD9FB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6BD61A8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FC3C8F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8.422.026,35</w:t>
            </w:r>
          </w:p>
        </w:tc>
      </w:tr>
      <w:tr w:rsidR="00AF66BB" w:rsidRPr="007D3D4F" w14:paraId="448B0CD8" w14:textId="77777777" w:rsidTr="00C309C6">
        <w:trPr>
          <w:jc w:val="center"/>
        </w:trPr>
        <w:tc>
          <w:tcPr>
            <w:tcW w:w="2057" w:type="pct"/>
            <w:shd w:val="clear" w:color="auto" w:fill="E7E6E6" w:themeFill="background2"/>
            <w:vAlign w:val="center"/>
          </w:tcPr>
          <w:p w14:paraId="6012BD7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Asfaltare drumuri în comuna Cerna, județul Tulcea</w:t>
            </w:r>
          </w:p>
        </w:tc>
        <w:tc>
          <w:tcPr>
            <w:tcW w:w="1246" w:type="pct"/>
            <w:shd w:val="clear" w:color="auto" w:fill="E7E6E6" w:themeFill="background2"/>
            <w:vAlign w:val="center"/>
          </w:tcPr>
          <w:p w14:paraId="49FC3C0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6C96B2C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C56446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23.877.899</w:t>
            </w:r>
          </w:p>
        </w:tc>
      </w:tr>
      <w:tr w:rsidR="00AF66BB" w:rsidRPr="007D3D4F" w14:paraId="346D51F5" w14:textId="77777777" w:rsidTr="00C309C6">
        <w:trPr>
          <w:jc w:val="center"/>
        </w:trPr>
        <w:tc>
          <w:tcPr>
            <w:tcW w:w="4082" w:type="pct"/>
            <w:gridSpan w:val="3"/>
            <w:shd w:val="clear" w:color="auto" w:fill="767171" w:themeFill="background2" w:themeFillShade="80"/>
            <w:vAlign w:val="center"/>
          </w:tcPr>
          <w:p w14:paraId="257883D3"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1B6608D3"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32.299.925,59</w:t>
            </w:r>
          </w:p>
        </w:tc>
      </w:tr>
    </w:tbl>
    <w:p w14:paraId="60EDEC88"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22981704"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În comuna Chilia Veche, prin Programul Național de Dezvoltare Locală II, a fost implementat un proiect de modernizare a infrastructurii rutiere, cu o valoare totală de peste 7,2 milioane lei. Intervenția a avut ca scop îmbunătățirea accesibilității și a condițiilor de mobilitate locală, contribuind la creșterea calității vieții pentru locuitorii comunei.</w:t>
      </w:r>
    </w:p>
    <w:p w14:paraId="3FB7C6BA" w14:textId="0173FA04"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21</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Chilia Veche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07A97ED6" w14:textId="77777777" w:rsidTr="00C309C6">
        <w:trPr>
          <w:jc w:val="center"/>
        </w:trPr>
        <w:tc>
          <w:tcPr>
            <w:tcW w:w="2057" w:type="pct"/>
            <w:shd w:val="clear" w:color="auto" w:fill="3B3838" w:themeFill="background2" w:themeFillShade="40"/>
            <w:vAlign w:val="center"/>
          </w:tcPr>
          <w:p w14:paraId="084F91FC"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6FA01DC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6CA4369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72CEEEB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6439D568" w14:textId="77777777" w:rsidTr="00C309C6">
        <w:trPr>
          <w:jc w:val="center"/>
        </w:trPr>
        <w:tc>
          <w:tcPr>
            <w:tcW w:w="2057" w:type="pct"/>
            <w:shd w:val="clear" w:color="auto" w:fill="E7E6E6" w:themeFill="background2"/>
            <w:vAlign w:val="center"/>
          </w:tcPr>
          <w:p w14:paraId="0C7397C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în comuna Chilia Veche</w:t>
            </w:r>
          </w:p>
        </w:tc>
        <w:tc>
          <w:tcPr>
            <w:tcW w:w="1246" w:type="pct"/>
            <w:shd w:val="clear" w:color="auto" w:fill="E7E6E6" w:themeFill="background2"/>
            <w:vAlign w:val="center"/>
          </w:tcPr>
          <w:p w14:paraId="49939F4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3F52B17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26F55C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7.231.575</w:t>
            </w:r>
          </w:p>
        </w:tc>
      </w:tr>
    </w:tbl>
    <w:p w14:paraId="19BCE022"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7DEF3AA9"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 xml:space="preserve">În comuna Ciucurova, prin Programul Național de Dezvoltare Locală II, au fost finanțate două proiecte cu o valoare cumulată de peste 26,6 milioane lei. Ambele proiecte au vizat modernizarea și reabilitarea infrastructurii rutiere comunale, contribuind semnificativ la îmbunătățirea accesului și mobilității în localitate. </w:t>
      </w:r>
    </w:p>
    <w:p w14:paraId="5DAA5C14" w14:textId="75F54B29"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22</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Ciucurova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0F880251" w14:textId="77777777" w:rsidTr="00C309C6">
        <w:trPr>
          <w:jc w:val="center"/>
        </w:trPr>
        <w:tc>
          <w:tcPr>
            <w:tcW w:w="2057" w:type="pct"/>
            <w:shd w:val="clear" w:color="auto" w:fill="3B3838" w:themeFill="background2" w:themeFillShade="40"/>
            <w:vAlign w:val="center"/>
          </w:tcPr>
          <w:p w14:paraId="6B9B60A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42D8BEE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101FF5F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352CB77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49BBCDB2" w14:textId="77777777" w:rsidTr="00C309C6">
        <w:trPr>
          <w:trHeight w:val="137"/>
          <w:jc w:val="center"/>
        </w:trPr>
        <w:tc>
          <w:tcPr>
            <w:tcW w:w="2057" w:type="pct"/>
            <w:shd w:val="clear" w:color="auto" w:fill="E7E6E6" w:themeFill="background2"/>
            <w:vAlign w:val="center"/>
          </w:tcPr>
          <w:p w14:paraId="6FCD90F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infrastructura drumuri comunale in localitatea Ciucurova, județul Tulcea</w:t>
            </w:r>
          </w:p>
        </w:tc>
        <w:tc>
          <w:tcPr>
            <w:tcW w:w="1246" w:type="pct"/>
            <w:shd w:val="clear" w:color="auto" w:fill="E7E6E6" w:themeFill="background2"/>
            <w:vAlign w:val="center"/>
          </w:tcPr>
          <w:p w14:paraId="3C3F9F7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6FD5473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419B82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15.417.995</w:t>
            </w:r>
          </w:p>
        </w:tc>
      </w:tr>
      <w:tr w:rsidR="00AF66BB" w:rsidRPr="007D3D4F" w14:paraId="296C3CAF" w14:textId="77777777" w:rsidTr="00C309C6">
        <w:trPr>
          <w:jc w:val="center"/>
        </w:trPr>
        <w:tc>
          <w:tcPr>
            <w:tcW w:w="2057" w:type="pct"/>
            <w:shd w:val="clear" w:color="auto" w:fill="E7E6E6" w:themeFill="background2"/>
            <w:vAlign w:val="center"/>
          </w:tcPr>
          <w:p w14:paraId="44CF11B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drumuri comunale comuna Ciucurova, județul Tulcea</w:t>
            </w:r>
          </w:p>
        </w:tc>
        <w:tc>
          <w:tcPr>
            <w:tcW w:w="1246" w:type="pct"/>
            <w:shd w:val="clear" w:color="auto" w:fill="E7E6E6" w:themeFill="background2"/>
            <w:vAlign w:val="center"/>
          </w:tcPr>
          <w:p w14:paraId="56E74A1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0212E99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A98226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11.202.002</w:t>
            </w:r>
          </w:p>
        </w:tc>
      </w:tr>
      <w:tr w:rsidR="00AF66BB" w:rsidRPr="007D3D4F" w14:paraId="479612BC" w14:textId="77777777" w:rsidTr="00C309C6">
        <w:trPr>
          <w:trHeight w:val="133"/>
          <w:jc w:val="center"/>
        </w:trPr>
        <w:tc>
          <w:tcPr>
            <w:tcW w:w="4082" w:type="pct"/>
            <w:gridSpan w:val="3"/>
            <w:shd w:val="clear" w:color="auto" w:fill="767171" w:themeFill="background2" w:themeFillShade="80"/>
            <w:vAlign w:val="center"/>
          </w:tcPr>
          <w:p w14:paraId="3860D4B3"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75CCA9AC"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26.619.997</w:t>
            </w:r>
          </w:p>
        </w:tc>
      </w:tr>
    </w:tbl>
    <w:p w14:paraId="63599BD3"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7FBBCC35"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În județul Tulcea, Consiliul Județean a implementat, prin PNDL I și II, un total de 7 proiecte de infrastructură rutieră cu o valoare cumulată de peste 140 milioane lei. Acestea au vizat atât reabilitarea și modernizarea unor drumuri județene importante, cât și intervenții punctuale asupra unor poduri și intersecții, contribuind semnificativ la îmbunătățirea conectivității regionale și la creșterea siguranței traficului rutier.</w:t>
      </w:r>
    </w:p>
    <w:p w14:paraId="6296164C" w14:textId="278ED489"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23</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Județul Tulcea având beneficiar CJ Tulcea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147204A7" w14:textId="77777777" w:rsidTr="00C309C6">
        <w:trPr>
          <w:jc w:val="center"/>
        </w:trPr>
        <w:tc>
          <w:tcPr>
            <w:tcW w:w="2057" w:type="pct"/>
            <w:shd w:val="clear" w:color="auto" w:fill="3B3838" w:themeFill="background2" w:themeFillShade="40"/>
            <w:vAlign w:val="center"/>
          </w:tcPr>
          <w:p w14:paraId="32E243F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2D572DB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048148B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6ECEF3F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17948966" w14:textId="77777777" w:rsidTr="00C309C6">
        <w:trPr>
          <w:trHeight w:val="137"/>
          <w:jc w:val="center"/>
        </w:trPr>
        <w:tc>
          <w:tcPr>
            <w:tcW w:w="2057" w:type="pct"/>
            <w:shd w:val="clear" w:color="auto" w:fill="E7E6E6" w:themeFill="background2"/>
            <w:vAlign w:val="center"/>
          </w:tcPr>
          <w:p w14:paraId="75293DE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DJ 222 Tulcea ‐ Sarichioi ‐Enisala2+530‐ 40+000, 37,47 km</w:t>
            </w:r>
          </w:p>
        </w:tc>
        <w:tc>
          <w:tcPr>
            <w:tcW w:w="1246" w:type="pct"/>
            <w:shd w:val="clear" w:color="auto" w:fill="E7E6E6" w:themeFill="background2"/>
            <w:vAlign w:val="center"/>
          </w:tcPr>
          <w:p w14:paraId="4A37B7F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5698F5F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520D4E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25.474.140</w:t>
            </w:r>
          </w:p>
        </w:tc>
      </w:tr>
      <w:tr w:rsidR="00AF66BB" w:rsidRPr="007D3D4F" w14:paraId="154A5053" w14:textId="77777777" w:rsidTr="00C309C6">
        <w:trPr>
          <w:jc w:val="center"/>
        </w:trPr>
        <w:tc>
          <w:tcPr>
            <w:tcW w:w="2057" w:type="pct"/>
            <w:shd w:val="clear" w:color="auto" w:fill="E7E6E6" w:themeFill="background2"/>
            <w:vAlign w:val="center"/>
          </w:tcPr>
          <w:p w14:paraId="3867BB9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DJ 222 C, Murighiol - Iazurile - Agighiol, km 36+332 - 62+926, județul Tulcea</w:t>
            </w:r>
          </w:p>
        </w:tc>
        <w:tc>
          <w:tcPr>
            <w:tcW w:w="1246" w:type="pct"/>
            <w:shd w:val="clear" w:color="auto" w:fill="E7E6E6" w:themeFill="background2"/>
            <w:vAlign w:val="center"/>
          </w:tcPr>
          <w:p w14:paraId="7E953A4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3DEA3B4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DF1836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49.023.640</w:t>
            </w:r>
          </w:p>
        </w:tc>
      </w:tr>
      <w:tr w:rsidR="00AF66BB" w:rsidRPr="007D3D4F" w14:paraId="77E0DAC7" w14:textId="77777777" w:rsidTr="00C309C6">
        <w:trPr>
          <w:jc w:val="center"/>
        </w:trPr>
        <w:tc>
          <w:tcPr>
            <w:tcW w:w="2057" w:type="pct"/>
            <w:shd w:val="clear" w:color="auto" w:fill="E7E6E6" w:themeFill="background2"/>
            <w:vAlign w:val="center"/>
          </w:tcPr>
          <w:p w14:paraId="5EF82E1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DJ 222 C, Murighiol - Iazurile - Agighiol, km 36+332 - 62+926, 26,594 km, judeţul Tulcea</w:t>
            </w:r>
          </w:p>
        </w:tc>
        <w:tc>
          <w:tcPr>
            <w:tcW w:w="1246" w:type="pct"/>
            <w:shd w:val="clear" w:color="auto" w:fill="E7E6E6" w:themeFill="background2"/>
            <w:vAlign w:val="center"/>
          </w:tcPr>
          <w:p w14:paraId="720CC2B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6E97575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EFFD6D1"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21.044.671,72</w:t>
            </w:r>
          </w:p>
        </w:tc>
      </w:tr>
      <w:tr w:rsidR="00AF66BB" w:rsidRPr="007D3D4F" w14:paraId="222CAA94" w14:textId="77777777" w:rsidTr="00C309C6">
        <w:trPr>
          <w:jc w:val="center"/>
        </w:trPr>
        <w:tc>
          <w:tcPr>
            <w:tcW w:w="2057" w:type="pct"/>
            <w:shd w:val="clear" w:color="auto" w:fill="E7E6E6" w:themeFill="background2"/>
            <w:vAlign w:val="center"/>
          </w:tcPr>
          <w:p w14:paraId="0835EFB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DJ 222 A, Horia-Hamcearca - Nifon, km 0+000-km15+725</w:t>
            </w:r>
          </w:p>
        </w:tc>
        <w:tc>
          <w:tcPr>
            <w:tcW w:w="1246" w:type="pct"/>
            <w:shd w:val="clear" w:color="auto" w:fill="E7E6E6" w:themeFill="background2"/>
            <w:vAlign w:val="center"/>
          </w:tcPr>
          <w:p w14:paraId="183B11C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D26039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66595B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27.420.454</w:t>
            </w:r>
          </w:p>
        </w:tc>
      </w:tr>
      <w:tr w:rsidR="00AF66BB" w:rsidRPr="007D3D4F" w14:paraId="7EC47A97" w14:textId="77777777" w:rsidTr="00C309C6">
        <w:trPr>
          <w:jc w:val="center"/>
        </w:trPr>
        <w:tc>
          <w:tcPr>
            <w:tcW w:w="2057" w:type="pct"/>
            <w:shd w:val="clear" w:color="auto" w:fill="E7E6E6" w:themeFill="background2"/>
            <w:vAlign w:val="center"/>
          </w:tcPr>
          <w:p w14:paraId="2698AC3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DJ 222, Ceamurlia de Sus - Sarighiol de Deal-limita județ Constanța, km 81+921-km94+518</w:t>
            </w:r>
          </w:p>
        </w:tc>
        <w:tc>
          <w:tcPr>
            <w:tcW w:w="1246" w:type="pct"/>
            <w:shd w:val="clear" w:color="auto" w:fill="E7E6E6" w:themeFill="background2"/>
            <w:vAlign w:val="center"/>
          </w:tcPr>
          <w:p w14:paraId="4A1443A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0675217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690742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20.490.188</w:t>
            </w:r>
          </w:p>
        </w:tc>
      </w:tr>
      <w:tr w:rsidR="00AF66BB" w:rsidRPr="007D3D4F" w14:paraId="3D5D5368" w14:textId="77777777" w:rsidTr="00C309C6">
        <w:trPr>
          <w:jc w:val="center"/>
        </w:trPr>
        <w:tc>
          <w:tcPr>
            <w:tcW w:w="2057" w:type="pct"/>
            <w:shd w:val="clear" w:color="auto" w:fill="E7E6E6" w:themeFill="background2"/>
            <w:vAlign w:val="center"/>
          </w:tcPr>
          <w:p w14:paraId="529FFA2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podeț pe DJ 222L , intersecție DN 22D - Carcaliu, km 1+732</w:t>
            </w:r>
          </w:p>
        </w:tc>
        <w:tc>
          <w:tcPr>
            <w:tcW w:w="1246" w:type="pct"/>
            <w:shd w:val="clear" w:color="auto" w:fill="E7E6E6" w:themeFill="background2"/>
            <w:vAlign w:val="center"/>
          </w:tcPr>
          <w:p w14:paraId="5E4D6BF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5B34820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86C49F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972.937</w:t>
            </w:r>
          </w:p>
        </w:tc>
      </w:tr>
      <w:tr w:rsidR="00AF66BB" w:rsidRPr="007D3D4F" w14:paraId="11B897C3" w14:textId="77777777" w:rsidTr="00C309C6">
        <w:trPr>
          <w:jc w:val="center"/>
        </w:trPr>
        <w:tc>
          <w:tcPr>
            <w:tcW w:w="2057" w:type="pct"/>
            <w:shd w:val="clear" w:color="auto" w:fill="E7E6E6" w:themeFill="background2"/>
            <w:vAlign w:val="center"/>
          </w:tcPr>
          <w:p w14:paraId="405580B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pod pe DJ 222H , intersecție DN 22 D - Turcoaia, km 2+445</w:t>
            </w:r>
          </w:p>
        </w:tc>
        <w:tc>
          <w:tcPr>
            <w:tcW w:w="1246" w:type="pct"/>
            <w:shd w:val="clear" w:color="auto" w:fill="E7E6E6" w:themeFill="background2"/>
            <w:vAlign w:val="center"/>
          </w:tcPr>
          <w:p w14:paraId="2B38C93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3C8B6AA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B86E97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1.671.638</w:t>
            </w:r>
          </w:p>
        </w:tc>
      </w:tr>
      <w:tr w:rsidR="00AF66BB" w:rsidRPr="007D3D4F" w14:paraId="330F5BFB" w14:textId="77777777" w:rsidTr="00C309C6">
        <w:trPr>
          <w:trHeight w:val="133"/>
          <w:jc w:val="center"/>
        </w:trPr>
        <w:tc>
          <w:tcPr>
            <w:tcW w:w="4082" w:type="pct"/>
            <w:gridSpan w:val="3"/>
            <w:shd w:val="clear" w:color="auto" w:fill="767171" w:themeFill="background2" w:themeFillShade="80"/>
            <w:vAlign w:val="center"/>
          </w:tcPr>
          <w:p w14:paraId="71A2D985"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0F7FC0AD"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146.097.668,72</w:t>
            </w:r>
          </w:p>
        </w:tc>
      </w:tr>
    </w:tbl>
    <w:p w14:paraId="6F486953"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7FD7762" w14:textId="77777777" w:rsidR="00AF66BB" w:rsidRDefault="00AF66BB" w:rsidP="004C072F">
      <w:pPr>
        <w:pStyle w:val="Legend"/>
        <w:spacing w:before="120" w:after="120"/>
        <w:contextualSpacing/>
        <w:jc w:val="both"/>
        <w:rPr>
          <w:rFonts w:ascii="Times New Roman" w:hAnsi="Times New Roman" w:cs="Times New Roman"/>
          <w:i w:val="0"/>
          <w:iCs w:val="0"/>
          <w:color w:val="auto"/>
          <w:sz w:val="22"/>
          <w:szCs w:val="22"/>
        </w:rPr>
      </w:pPr>
      <w:r w:rsidRPr="007D3D4F">
        <w:rPr>
          <w:rFonts w:ascii="Times New Roman" w:hAnsi="Times New Roman" w:cs="Times New Roman"/>
          <w:i w:val="0"/>
          <w:iCs w:val="0"/>
          <w:color w:val="auto"/>
          <w:sz w:val="22"/>
          <w:szCs w:val="22"/>
        </w:rPr>
        <w:t>În Comuna Crișan, prin intermediul Programului Național de Dezvoltare Locală (etapa I), au fost implementate două proiecte majore de reabilitare a infrastructurii rutiere, în special în localitatea Crișan. Valoarea totală a investițiilor se ridică la 7.923.085 lei, contribuind semnificativ la îmbunătățirea accesibilității.</w:t>
      </w:r>
    </w:p>
    <w:p w14:paraId="6EE3D664" w14:textId="77777777" w:rsidR="00333AE8" w:rsidRDefault="00333AE8" w:rsidP="00333AE8"/>
    <w:p w14:paraId="29C242D9" w14:textId="77777777" w:rsidR="00333AE8" w:rsidRPr="00333AE8" w:rsidRDefault="00333AE8" w:rsidP="00333AE8"/>
    <w:p w14:paraId="61D9C989" w14:textId="0AA589CF"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24</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Crișan prin Programul Național Dezvoltare Locală 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43"/>
        <w:gridCol w:w="2329"/>
        <w:gridCol w:w="1456"/>
        <w:gridCol w:w="1716"/>
      </w:tblGrid>
      <w:tr w:rsidR="00AF66BB" w:rsidRPr="007D3D4F" w14:paraId="3F7ADD18" w14:textId="77777777" w:rsidTr="00C309C6">
        <w:trPr>
          <w:jc w:val="center"/>
        </w:trPr>
        <w:tc>
          <w:tcPr>
            <w:tcW w:w="2057" w:type="pct"/>
            <w:shd w:val="clear" w:color="auto" w:fill="3B3838" w:themeFill="background2" w:themeFillShade="40"/>
            <w:vAlign w:val="center"/>
          </w:tcPr>
          <w:p w14:paraId="7B156BE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7FDA572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764EA7A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42833AF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16B274AA" w14:textId="77777777" w:rsidTr="00C309C6">
        <w:trPr>
          <w:trHeight w:val="137"/>
          <w:jc w:val="center"/>
        </w:trPr>
        <w:tc>
          <w:tcPr>
            <w:tcW w:w="2057" w:type="pct"/>
            <w:shd w:val="clear" w:color="auto" w:fill="E7E6E6" w:themeFill="background2"/>
            <w:vAlign w:val="center"/>
          </w:tcPr>
          <w:p w14:paraId="6780ABB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străzi în localitatea Crișan, comuna Crișan, județul Tulcea</w:t>
            </w:r>
          </w:p>
        </w:tc>
        <w:tc>
          <w:tcPr>
            <w:tcW w:w="1246" w:type="pct"/>
            <w:shd w:val="clear" w:color="auto" w:fill="E7E6E6" w:themeFill="background2"/>
            <w:vAlign w:val="center"/>
          </w:tcPr>
          <w:p w14:paraId="4E49A9E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7B081C3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12F829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6.216.590</w:t>
            </w:r>
          </w:p>
        </w:tc>
      </w:tr>
      <w:tr w:rsidR="00AF66BB" w:rsidRPr="007D3D4F" w14:paraId="645DD82A" w14:textId="77777777" w:rsidTr="00C309C6">
        <w:trPr>
          <w:jc w:val="center"/>
        </w:trPr>
        <w:tc>
          <w:tcPr>
            <w:tcW w:w="2057" w:type="pct"/>
            <w:shd w:val="clear" w:color="auto" w:fill="E7E6E6" w:themeFill="background2"/>
            <w:vAlign w:val="center"/>
          </w:tcPr>
          <w:p w14:paraId="5732570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străzi în localitatea Crișan, comuna Crișan, județul Tulcea</w:t>
            </w:r>
          </w:p>
        </w:tc>
        <w:tc>
          <w:tcPr>
            <w:tcW w:w="1246" w:type="pct"/>
            <w:shd w:val="clear" w:color="auto" w:fill="E7E6E6" w:themeFill="background2"/>
            <w:vAlign w:val="center"/>
          </w:tcPr>
          <w:p w14:paraId="41409E0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66FAB6C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B41BF8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1.706.495,34</w:t>
            </w:r>
          </w:p>
        </w:tc>
      </w:tr>
      <w:tr w:rsidR="00AF66BB" w:rsidRPr="007D3D4F" w14:paraId="46FDB7B8" w14:textId="77777777" w:rsidTr="00C309C6">
        <w:trPr>
          <w:trHeight w:val="133"/>
          <w:jc w:val="center"/>
        </w:trPr>
        <w:tc>
          <w:tcPr>
            <w:tcW w:w="4082" w:type="pct"/>
            <w:gridSpan w:val="3"/>
            <w:shd w:val="clear" w:color="auto" w:fill="767171" w:themeFill="background2" w:themeFillShade="80"/>
            <w:vAlign w:val="center"/>
          </w:tcPr>
          <w:p w14:paraId="7F3AA496"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07C90CD3"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7.923.085</w:t>
            </w:r>
          </w:p>
        </w:tc>
      </w:tr>
    </w:tbl>
    <w:p w14:paraId="0E7DE91C"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0F6493CB"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În comuna Dăeni au fost realizate 5 proiecte prin Programul Național de Dezvoltare Locală, cu o valoare totală de aproximativ 27,7 milioane lei. Acestea au vizat modernizarea și extinderea infrastructurii rutiere locale, amenajarea de trotuare și asigurarea accesului la stația de tratare a apei, contribuind la îmbunătățirea condițiilor de mobilitate și siguranță în localitate.</w:t>
      </w:r>
    </w:p>
    <w:p w14:paraId="20868433" w14:textId="54D2A1A8"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25</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Dăeni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43"/>
        <w:gridCol w:w="2329"/>
        <w:gridCol w:w="1456"/>
        <w:gridCol w:w="1716"/>
      </w:tblGrid>
      <w:tr w:rsidR="00AF66BB" w:rsidRPr="007D3D4F" w14:paraId="556D054D" w14:textId="77777777" w:rsidTr="00C309C6">
        <w:trPr>
          <w:jc w:val="center"/>
        </w:trPr>
        <w:tc>
          <w:tcPr>
            <w:tcW w:w="2057" w:type="pct"/>
            <w:shd w:val="clear" w:color="auto" w:fill="3B3838" w:themeFill="background2" w:themeFillShade="40"/>
            <w:vAlign w:val="center"/>
          </w:tcPr>
          <w:p w14:paraId="638A6DD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50A5D99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0598ED3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56D21B4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3A6100D" w14:textId="77777777" w:rsidTr="00C309C6">
        <w:trPr>
          <w:trHeight w:val="137"/>
          <w:jc w:val="center"/>
        </w:trPr>
        <w:tc>
          <w:tcPr>
            <w:tcW w:w="2057" w:type="pct"/>
            <w:shd w:val="clear" w:color="auto" w:fill="E7E6E6" w:themeFill="background2"/>
            <w:vAlign w:val="center"/>
          </w:tcPr>
          <w:p w14:paraId="52712FA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și modernizare străzi in comuna Dăeni județul Tulcea</w:t>
            </w:r>
          </w:p>
        </w:tc>
        <w:tc>
          <w:tcPr>
            <w:tcW w:w="1246" w:type="pct"/>
            <w:shd w:val="clear" w:color="auto" w:fill="E7E6E6" w:themeFill="background2"/>
            <w:vAlign w:val="center"/>
          </w:tcPr>
          <w:p w14:paraId="5B3D8A2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62EA09B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78425A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4.318.785,97</w:t>
            </w:r>
          </w:p>
        </w:tc>
      </w:tr>
      <w:tr w:rsidR="00AF66BB" w:rsidRPr="007D3D4F" w14:paraId="2D728170" w14:textId="77777777" w:rsidTr="00C309C6">
        <w:trPr>
          <w:jc w:val="center"/>
        </w:trPr>
        <w:tc>
          <w:tcPr>
            <w:tcW w:w="2057" w:type="pct"/>
            <w:shd w:val="clear" w:color="auto" w:fill="E7E6E6" w:themeFill="background2"/>
            <w:vAlign w:val="center"/>
          </w:tcPr>
          <w:p w14:paraId="04C2910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Extindere  modernizare străzi în comuna Dăeni, județul Tulcea</w:t>
            </w:r>
          </w:p>
        </w:tc>
        <w:tc>
          <w:tcPr>
            <w:tcW w:w="1246" w:type="pct"/>
            <w:shd w:val="clear" w:color="auto" w:fill="E7E6E6" w:themeFill="background2"/>
            <w:vAlign w:val="center"/>
          </w:tcPr>
          <w:p w14:paraId="374265E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094C16C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7128B3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6.856.110,00</w:t>
            </w:r>
          </w:p>
        </w:tc>
      </w:tr>
      <w:tr w:rsidR="00AF66BB" w:rsidRPr="007D3D4F" w14:paraId="321145DA" w14:textId="77777777" w:rsidTr="00C309C6">
        <w:trPr>
          <w:jc w:val="center"/>
        </w:trPr>
        <w:tc>
          <w:tcPr>
            <w:tcW w:w="2057" w:type="pct"/>
            <w:shd w:val="clear" w:color="auto" w:fill="E7E6E6" w:themeFill="background2"/>
            <w:vAlign w:val="center"/>
          </w:tcPr>
          <w:p w14:paraId="1CDC66B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Amenajare trotuare la DJ 222G, în comuna Dăeni, județul Tulcea</w:t>
            </w:r>
          </w:p>
        </w:tc>
        <w:tc>
          <w:tcPr>
            <w:tcW w:w="1246" w:type="pct"/>
            <w:shd w:val="clear" w:color="auto" w:fill="E7E6E6" w:themeFill="background2"/>
            <w:vAlign w:val="center"/>
          </w:tcPr>
          <w:p w14:paraId="4E5DBA8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7CC96F0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6B67E1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41.650</w:t>
            </w:r>
          </w:p>
        </w:tc>
      </w:tr>
      <w:tr w:rsidR="00AF66BB" w:rsidRPr="007D3D4F" w14:paraId="4BC2A324" w14:textId="77777777" w:rsidTr="00C309C6">
        <w:trPr>
          <w:jc w:val="center"/>
        </w:trPr>
        <w:tc>
          <w:tcPr>
            <w:tcW w:w="2057" w:type="pct"/>
            <w:shd w:val="clear" w:color="auto" w:fill="E7E6E6" w:themeFill="background2"/>
            <w:vAlign w:val="center"/>
          </w:tcPr>
          <w:p w14:paraId="5BB186D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drum de acces stație de tratare apă, în comuna Dăeni, județul Tulcea</w:t>
            </w:r>
          </w:p>
        </w:tc>
        <w:tc>
          <w:tcPr>
            <w:tcW w:w="1246" w:type="pct"/>
            <w:shd w:val="clear" w:color="auto" w:fill="E7E6E6" w:themeFill="background2"/>
            <w:vAlign w:val="center"/>
          </w:tcPr>
          <w:p w14:paraId="448E233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1BE9072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5C3989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565.250</w:t>
            </w:r>
          </w:p>
        </w:tc>
      </w:tr>
      <w:tr w:rsidR="00AF66BB" w:rsidRPr="007D3D4F" w14:paraId="6FC4AA6E" w14:textId="77777777" w:rsidTr="00C309C6">
        <w:trPr>
          <w:jc w:val="center"/>
        </w:trPr>
        <w:tc>
          <w:tcPr>
            <w:tcW w:w="2057" w:type="pct"/>
            <w:shd w:val="clear" w:color="auto" w:fill="E7E6E6" w:themeFill="background2"/>
            <w:vAlign w:val="center"/>
          </w:tcPr>
          <w:p w14:paraId="04F9695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străzi de interes local în comuna Dăeni, județul Tulcea</w:t>
            </w:r>
          </w:p>
        </w:tc>
        <w:tc>
          <w:tcPr>
            <w:tcW w:w="1246" w:type="pct"/>
            <w:shd w:val="clear" w:color="auto" w:fill="E7E6E6" w:themeFill="background2"/>
            <w:vAlign w:val="center"/>
          </w:tcPr>
          <w:p w14:paraId="6F4A9FC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1CE023C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DC87F3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15.948.007</w:t>
            </w:r>
          </w:p>
        </w:tc>
      </w:tr>
      <w:tr w:rsidR="00AF66BB" w:rsidRPr="007D3D4F" w14:paraId="1AA49AD8" w14:textId="77777777" w:rsidTr="00C309C6">
        <w:trPr>
          <w:trHeight w:val="133"/>
          <w:jc w:val="center"/>
        </w:trPr>
        <w:tc>
          <w:tcPr>
            <w:tcW w:w="4082" w:type="pct"/>
            <w:gridSpan w:val="3"/>
            <w:shd w:val="clear" w:color="auto" w:fill="767171" w:themeFill="background2" w:themeFillShade="80"/>
            <w:vAlign w:val="center"/>
          </w:tcPr>
          <w:p w14:paraId="66CB352B"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1CC3B287"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27.729.803,13</w:t>
            </w:r>
          </w:p>
        </w:tc>
      </w:tr>
    </w:tbl>
    <w:p w14:paraId="37D513FB"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046C50EA" w14:textId="77777777" w:rsidR="00AF66BB" w:rsidRPr="007D3D4F" w:rsidRDefault="00AF66BB" w:rsidP="004C072F">
      <w:pPr>
        <w:spacing w:before="120" w:after="120" w:line="240" w:lineRule="auto"/>
        <w:contextualSpacing/>
        <w:jc w:val="both"/>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color w:val="272727" w:themeColor="text1" w:themeTint="D8"/>
        </w:rPr>
        <w:t>În comuna Dorobanțu a fost implementat un proiect finanțat prin PNDL I, având ca obiectiv îmbunătățirea infrastructurii rutiere locale prin asfaltarea străzilor. Valoarea totală a investiției s-a ridicat la peste 3,1 milioane lei, contribuind la creșterea accesibilității și a confortului pentru locuitorii comunei.</w:t>
      </w:r>
    </w:p>
    <w:p w14:paraId="4A68D47C" w14:textId="32243522"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26</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Dorobanțu prin Programul Național Dezvoltare Locală 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843"/>
        <w:gridCol w:w="2329"/>
        <w:gridCol w:w="1456"/>
        <w:gridCol w:w="1716"/>
      </w:tblGrid>
      <w:tr w:rsidR="00AF66BB" w:rsidRPr="007D3D4F" w14:paraId="24BBBBCE" w14:textId="77777777" w:rsidTr="00C309C6">
        <w:trPr>
          <w:jc w:val="center"/>
        </w:trPr>
        <w:tc>
          <w:tcPr>
            <w:tcW w:w="2057" w:type="pct"/>
            <w:shd w:val="clear" w:color="auto" w:fill="3B3838" w:themeFill="background2" w:themeFillShade="40"/>
            <w:vAlign w:val="center"/>
          </w:tcPr>
          <w:p w14:paraId="32AC6AB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1B86EE3C"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226E420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7AE7ABE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E35D46F" w14:textId="77777777" w:rsidTr="00C309C6">
        <w:trPr>
          <w:trHeight w:val="137"/>
          <w:jc w:val="center"/>
        </w:trPr>
        <w:tc>
          <w:tcPr>
            <w:tcW w:w="2057" w:type="pct"/>
            <w:shd w:val="clear" w:color="auto" w:fill="E7E6E6" w:themeFill="background2"/>
            <w:vAlign w:val="center"/>
          </w:tcPr>
          <w:p w14:paraId="5120888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Îmbunătățire străzi prin asfaltare în comuna Dorobanțu, județul Tulcea</w:t>
            </w:r>
          </w:p>
        </w:tc>
        <w:tc>
          <w:tcPr>
            <w:tcW w:w="1246" w:type="pct"/>
            <w:shd w:val="clear" w:color="auto" w:fill="E7E6E6" w:themeFill="background2"/>
            <w:vAlign w:val="center"/>
          </w:tcPr>
          <w:p w14:paraId="68219F5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6CE9DA3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26455A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3.111.501,11</w:t>
            </w:r>
          </w:p>
        </w:tc>
      </w:tr>
    </w:tbl>
    <w:p w14:paraId="32238316"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1768B7E4"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Frecăței au fost implementate două proiecte majore prin intermediul Programului Național de Dezvoltare Locală, vizând modernizarea infrastructurii rutiere locale. Un prim proiect, finanțat prin PNDL I, a presupus asfaltarea și amenajarea de trotuare pe un segment de 1,3 km, asigurând accesul spre cimitir în localitatea Cataloi. Cel de-al doilea proiect, cu o valoare semnificativ mai mare și finanțat prin PNDL II, a vizat modernizarea a peste 11 km de străzi de interes local în satele Frecăței, Cataloi, Poșta și Telița. Valoarea totală a investițiilor se ridică la aproximativ 14,2 milioane lei.</w:t>
      </w:r>
    </w:p>
    <w:p w14:paraId="27635197" w14:textId="5C6FBB64"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27</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Frecăței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29C9FEDB" w14:textId="77777777" w:rsidTr="00C309C6">
        <w:trPr>
          <w:jc w:val="center"/>
        </w:trPr>
        <w:tc>
          <w:tcPr>
            <w:tcW w:w="2057" w:type="pct"/>
            <w:shd w:val="clear" w:color="auto" w:fill="3B3838" w:themeFill="background2" w:themeFillShade="40"/>
            <w:vAlign w:val="center"/>
          </w:tcPr>
          <w:p w14:paraId="283DC45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64A1A66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2878A53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3767F25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54CF2632" w14:textId="77777777" w:rsidTr="00C309C6">
        <w:trPr>
          <w:trHeight w:val="137"/>
          <w:jc w:val="center"/>
        </w:trPr>
        <w:tc>
          <w:tcPr>
            <w:tcW w:w="2057" w:type="pct"/>
            <w:shd w:val="clear" w:color="auto" w:fill="E7E6E6" w:themeFill="background2"/>
            <w:vAlign w:val="center"/>
          </w:tcPr>
          <w:p w14:paraId="4542D0F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1,3 km (Asfaltare și trotuar) străzi - drum acces cimitir, localitatea Cataloi, comuna Frecăței, județul Tulcea</w:t>
            </w:r>
          </w:p>
        </w:tc>
        <w:tc>
          <w:tcPr>
            <w:tcW w:w="1246" w:type="pct"/>
            <w:shd w:val="clear" w:color="auto" w:fill="E7E6E6" w:themeFill="background2"/>
            <w:vAlign w:val="center"/>
          </w:tcPr>
          <w:p w14:paraId="2F56FFB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379D494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811FAC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564.243,89</w:t>
            </w:r>
          </w:p>
        </w:tc>
      </w:tr>
      <w:tr w:rsidR="00AF66BB" w:rsidRPr="007D3D4F" w14:paraId="3A3FE9A1" w14:textId="77777777" w:rsidTr="00C309C6">
        <w:trPr>
          <w:jc w:val="center"/>
        </w:trPr>
        <w:tc>
          <w:tcPr>
            <w:tcW w:w="2057" w:type="pct"/>
            <w:shd w:val="clear" w:color="auto" w:fill="E7E6E6" w:themeFill="background2"/>
            <w:vAlign w:val="center"/>
          </w:tcPr>
          <w:p w14:paraId="29F92DF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de interes local în satele Frecăței, Cataloi, Posta și Telita - 11,510 km, comuna Frecăței, județul Tulcea</w:t>
            </w:r>
          </w:p>
        </w:tc>
        <w:tc>
          <w:tcPr>
            <w:tcW w:w="1246" w:type="pct"/>
            <w:shd w:val="clear" w:color="auto" w:fill="E7E6E6" w:themeFill="background2"/>
            <w:vAlign w:val="center"/>
          </w:tcPr>
          <w:p w14:paraId="5764785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4468F91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A27F71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13.607.351</w:t>
            </w:r>
          </w:p>
        </w:tc>
      </w:tr>
      <w:tr w:rsidR="00AF66BB" w:rsidRPr="007D3D4F" w14:paraId="6C183456" w14:textId="77777777" w:rsidTr="00C309C6">
        <w:trPr>
          <w:trHeight w:val="133"/>
          <w:jc w:val="center"/>
        </w:trPr>
        <w:tc>
          <w:tcPr>
            <w:tcW w:w="4082" w:type="pct"/>
            <w:gridSpan w:val="3"/>
            <w:shd w:val="clear" w:color="auto" w:fill="767171" w:themeFill="background2" w:themeFillShade="80"/>
            <w:vAlign w:val="center"/>
          </w:tcPr>
          <w:p w14:paraId="40F29403"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35251EB7"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14.171.594,42</w:t>
            </w:r>
          </w:p>
        </w:tc>
      </w:tr>
    </w:tbl>
    <w:p w14:paraId="779CA99F"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502425A2"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Greci au fost implementate patru proiecte prin Programul Național de Dezvoltare Locală, toate vizând îmbunătățirea infrastructurii rutiere. Dintre acestea, trei au fost finanțate prin PNDL I și au vizat atât construcția de poduri peste pârâul Recea, cât și modernizarea străzii Carabalu. Cel de-al patrulea proiect, finanțat prin PNDL II, a presupus modernizarea drumurilor locale din comună, fiind totodată cel mai valoros. Valoarea totală a investițiilor realizate se ridică la peste 18 milioane lei.</w:t>
      </w:r>
    </w:p>
    <w:p w14:paraId="15C48ED9" w14:textId="582D63B9"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28</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Greci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1774E36D" w14:textId="77777777" w:rsidTr="00C309C6">
        <w:trPr>
          <w:jc w:val="center"/>
        </w:trPr>
        <w:tc>
          <w:tcPr>
            <w:tcW w:w="2057" w:type="pct"/>
            <w:shd w:val="clear" w:color="auto" w:fill="3B3838" w:themeFill="background2" w:themeFillShade="40"/>
            <w:vAlign w:val="center"/>
          </w:tcPr>
          <w:p w14:paraId="30A8C9E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5655E60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3865745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272D7F2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7393AD21" w14:textId="77777777" w:rsidTr="00C309C6">
        <w:trPr>
          <w:trHeight w:val="137"/>
          <w:jc w:val="center"/>
        </w:trPr>
        <w:tc>
          <w:tcPr>
            <w:tcW w:w="2057" w:type="pct"/>
            <w:shd w:val="clear" w:color="auto" w:fill="E7E6E6" w:themeFill="background2"/>
            <w:vAlign w:val="center"/>
          </w:tcPr>
          <w:p w14:paraId="7A458CA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Poduri peste pârâul Recea, comuna Greci, județul Tulcea</w:t>
            </w:r>
          </w:p>
        </w:tc>
        <w:tc>
          <w:tcPr>
            <w:tcW w:w="1246" w:type="pct"/>
            <w:shd w:val="clear" w:color="auto" w:fill="E7E6E6" w:themeFill="background2"/>
            <w:vAlign w:val="center"/>
          </w:tcPr>
          <w:p w14:paraId="593214D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7156A09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35AF5C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3.145.000</w:t>
            </w:r>
          </w:p>
        </w:tc>
      </w:tr>
      <w:tr w:rsidR="00AF66BB" w:rsidRPr="007D3D4F" w14:paraId="25F295A1" w14:textId="77777777" w:rsidTr="00C309C6">
        <w:trPr>
          <w:jc w:val="center"/>
        </w:trPr>
        <w:tc>
          <w:tcPr>
            <w:tcW w:w="2057" w:type="pct"/>
            <w:shd w:val="clear" w:color="auto" w:fill="E7E6E6" w:themeFill="background2"/>
            <w:vAlign w:val="center"/>
          </w:tcPr>
          <w:p w14:paraId="0365C30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Poduri peste pârâul Recea, comuna Greci, județul Tulcea</w:t>
            </w:r>
          </w:p>
        </w:tc>
        <w:tc>
          <w:tcPr>
            <w:tcW w:w="1246" w:type="pct"/>
            <w:shd w:val="clear" w:color="auto" w:fill="E7E6E6" w:themeFill="background2"/>
            <w:vAlign w:val="center"/>
          </w:tcPr>
          <w:p w14:paraId="71F796B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425DED0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85A296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192.298,22</w:t>
            </w:r>
          </w:p>
        </w:tc>
      </w:tr>
      <w:tr w:rsidR="00AF66BB" w:rsidRPr="007D3D4F" w14:paraId="329FF6AE" w14:textId="77777777" w:rsidTr="00C309C6">
        <w:trPr>
          <w:jc w:val="center"/>
        </w:trPr>
        <w:tc>
          <w:tcPr>
            <w:tcW w:w="2057" w:type="pct"/>
            <w:shd w:val="clear" w:color="auto" w:fill="E7E6E6" w:themeFill="background2"/>
            <w:vAlign w:val="center"/>
          </w:tcPr>
          <w:p w14:paraId="6663131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strada Carabalu din comuna Greci, județul Tulcea</w:t>
            </w:r>
          </w:p>
        </w:tc>
        <w:tc>
          <w:tcPr>
            <w:tcW w:w="1246" w:type="pct"/>
            <w:shd w:val="clear" w:color="auto" w:fill="E7E6E6" w:themeFill="background2"/>
            <w:vAlign w:val="center"/>
          </w:tcPr>
          <w:p w14:paraId="01E0056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0A3C85D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EE7EDF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1.285.047,16</w:t>
            </w:r>
          </w:p>
        </w:tc>
      </w:tr>
      <w:tr w:rsidR="00AF66BB" w:rsidRPr="007D3D4F" w14:paraId="02FFD38D" w14:textId="77777777" w:rsidTr="00C309C6">
        <w:trPr>
          <w:jc w:val="center"/>
        </w:trPr>
        <w:tc>
          <w:tcPr>
            <w:tcW w:w="2057" w:type="pct"/>
            <w:shd w:val="clear" w:color="auto" w:fill="E7E6E6" w:themeFill="background2"/>
            <w:vAlign w:val="center"/>
          </w:tcPr>
          <w:p w14:paraId="3DC74E5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locale în comuna Greci, județul Tulcea</w:t>
            </w:r>
          </w:p>
        </w:tc>
        <w:tc>
          <w:tcPr>
            <w:tcW w:w="1246" w:type="pct"/>
            <w:shd w:val="clear" w:color="auto" w:fill="E7E6E6" w:themeFill="background2"/>
            <w:vAlign w:val="center"/>
          </w:tcPr>
          <w:p w14:paraId="22157DB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D84464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688A3C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13.447.348</w:t>
            </w:r>
          </w:p>
        </w:tc>
      </w:tr>
      <w:tr w:rsidR="00AF66BB" w:rsidRPr="007D3D4F" w14:paraId="6DA42817" w14:textId="77777777" w:rsidTr="00C309C6">
        <w:trPr>
          <w:trHeight w:val="133"/>
          <w:jc w:val="center"/>
        </w:trPr>
        <w:tc>
          <w:tcPr>
            <w:tcW w:w="4082" w:type="pct"/>
            <w:gridSpan w:val="3"/>
            <w:shd w:val="clear" w:color="auto" w:fill="767171" w:themeFill="background2" w:themeFillShade="80"/>
            <w:vAlign w:val="center"/>
          </w:tcPr>
          <w:p w14:paraId="2B637BED"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2295F351"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18.069.694</w:t>
            </w:r>
          </w:p>
        </w:tc>
      </w:tr>
    </w:tbl>
    <w:p w14:paraId="4DA2E700"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7D84D386"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Hamcearca au fost realizate trei proiecte de modernizare a infrastructurii rutiere, cu o valoare totală de peste 21,7 milioane lei. Unul dintre proiecte a fost finanțat prin PNDL I, iar celelalte două prin PNDL II, vizând atât modernizarea drumurilor comunale și stradale, cât și intervenții etapizate în localitate și în satele componente. Cel mai mare proiect, în valoare de peste 14 milioane lei, a avut ca obiect modernizarea drumurilor în satele comunei.</w:t>
      </w:r>
    </w:p>
    <w:p w14:paraId="6BB3A46D" w14:textId="24C28F8D"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29</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Hamcearca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31DD0E75" w14:textId="77777777" w:rsidTr="00C309C6">
        <w:trPr>
          <w:tblHeader/>
          <w:jc w:val="center"/>
        </w:trPr>
        <w:tc>
          <w:tcPr>
            <w:tcW w:w="2057" w:type="pct"/>
            <w:shd w:val="clear" w:color="auto" w:fill="3B3838" w:themeFill="background2" w:themeFillShade="40"/>
            <w:vAlign w:val="center"/>
          </w:tcPr>
          <w:p w14:paraId="65B7E76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5B35335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23001B3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5620580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32F8C5C" w14:textId="77777777" w:rsidTr="00C309C6">
        <w:trPr>
          <w:trHeight w:val="137"/>
          <w:jc w:val="center"/>
        </w:trPr>
        <w:tc>
          <w:tcPr>
            <w:tcW w:w="2057" w:type="pct"/>
            <w:shd w:val="clear" w:color="auto" w:fill="E7E6E6" w:themeFill="background2"/>
            <w:vAlign w:val="center"/>
          </w:tcPr>
          <w:p w14:paraId="08806E2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drumuri stradale comuna Hamcearca, județul Tulcea</w:t>
            </w:r>
          </w:p>
        </w:tc>
        <w:tc>
          <w:tcPr>
            <w:tcW w:w="1246" w:type="pct"/>
            <w:shd w:val="clear" w:color="auto" w:fill="E7E6E6" w:themeFill="background2"/>
            <w:vAlign w:val="center"/>
          </w:tcPr>
          <w:p w14:paraId="420EAB3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47CBC0D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EB1B9B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3.168.070,04</w:t>
            </w:r>
          </w:p>
        </w:tc>
      </w:tr>
      <w:tr w:rsidR="00AF66BB" w:rsidRPr="007D3D4F" w14:paraId="1BF18E5C" w14:textId="77777777" w:rsidTr="00C309C6">
        <w:trPr>
          <w:jc w:val="center"/>
        </w:trPr>
        <w:tc>
          <w:tcPr>
            <w:tcW w:w="2057" w:type="pct"/>
            <w:shd w:val="clear" w:color="auto" w:fill="E7E6E6" w:themeFill="background2"/>
            <w:vAlign w:val="center"/>
          </w:tcPr>
          <w:p w14:paraId="4228734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drumuri stradale - etapa a II a Comuna Hamcearca</w:t>
            </w:r>
          </w:p>
        </w:tc>
        <w:tc>
          <w:tcPr>
            <w:tcW w:w="1246" w:type="pct"/>
            <w:shd w:val="clear" w:color="auto" w:fill="E7E6E6" w:themeFill="background2"/>
            <w:vAlign w:val="center"/>
          </w:tcPr>
          <w:p w14:paraId="24DB13B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038FC0F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CEAEF7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4.221.695</w:t>
            </w:r>
          </w:p>
        </w:tc>
      </w:tr>
      <w:tr w:rsidR="00AF66BB" w:rsidRPr="007D3D4F" w14:paraId="73357452" w14:textId="77777777" w:rsidTr="00C309C6">
        <w:trPr>
          <w:jc w:val="center"/>
        </w:trPr>
        <w:tc>
          <w:tcPr>
            <w:tcW w:w="2057" w:type="pct"/>
            <w:shd w:val="clear" w:color="auto" w:fill="E7E6E6" w:themeFill="background2"/>
            <w:vAlign w:val="center"/>
          </w:tcPr>
          <w:p w14:paraId="1CEF290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lastRenderedPageBreak/>
              <w:t>Reabilitare și modernizare infrastructură drumuri comunale și stradale în satele comunei Hamcearca, județul Tulcea</w:t>
            </w:r>
          </w:p>
        </w:tc>
        <w:tc>
          <w:tcPr>
            <w:tcW w:w="1246" w:type="pct"/>
            <w:shd w:val="clear" w:color="auto" w:fill="E7E6E6" w:themeFill="background2"/>
            <w:vAlign w:val="center"/>
          </w:tcPr>
          <w:p w14:paraId="1E04CD1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393C373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61EB5E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14.314.988</w:t>
            </w:r>
          </w:p>
        </w:tc>
      </w:tr>
      <w:tr w:rsidR="00AF66BB" w:rsidRPr="007D3D4F" w14:paraId="4874D876" w14:textId="77777777" w:rsidTr="00C309C6">
        <w:trPr>
          <w:trHeight w:val="133"/>
          <w:jc w:val="center"/>
        </w:trPr>
        <w:tc>
          <w:tcPr>
            <w:tcW w:w="4082" w:type="pct"/>
            <w:gridSpan w:val="3"/>
            <w:shd w:val="clear" w:color="auto" w:fill="767171" w:themeFill="background2" w:themeFillShade="80"/>
            <w:vAlign w:val="center"/>
          </w:tcPr>
          <w:p w14:paraId="64BC7555"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2CEE2E59"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21.704.753,09</w:t>
            </w:r>
          </w:p>
        </w:tc>
      </w:tr>
    </w:tbl>
    <w:p w14:paraId="45A0EF53" w14:textId="77777777" w:rsidR="00AF66BB" w:rsidRPr="007D3D4F" w:rsidRDefault="00AF66BB" w:rsidP="004C072F">
      <w:pPr>
        <w:pStyle w:val="Smn"/>
        <w:contextualSpacing/>
        <w:jc w:val="center"/>
        <w:rPr>
          <w:rFonts w:ascii="Times New Roman" w:hAnsi="Times New Roman" w:cs="Times New Roman"/>
          <w:sz w:val="22"/>
          <w:szCs w:val="22"/>
        </w:rPr>
      </w:pPr>
      <w:r w:rsidRPr="007D3D4F">
        <w:rPr>
          <w:rFonts w:ascii="Times New Roman" w:hAnsi="Times New Roman" w:cs="Times New Roman"/>
          <w:b/>
          <w:bCs/>
          <w:sz w:val="22"/>
          <w:szCs w:val="22"/>
        </w:rPr>
        <w:t xml:space="preserve">Sursa: </w:t>
      </w:r>
      <w:r w:rsidRPr="007D3D4F">
        <w:rPr>
          <w:rFonts w:ascii="Times New Roman" w:hAnsi="Times New Roman" w:cs="Times New Roman"/>
          <w:sz w:val="22"/>
          <w:szCs w:val="22"/>
        </w:rPr>
        <w:t>Autorul, pe baza documentelor oficiale existente</w:t>
      </w:r>
    </w:p>
    <w:p w14:paraId="4A0A0F6E"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Horia au fost implementate șapte proiecte de modernizare a infrastructurii rutiere, cu o valoare totală ce depășește 21,8 milioane lei. Patru dintre acestea au fost finanțate prin PNDL I și trei prin PNDL II, acoperind atât drumurile comunale (precum DC 42 și DC 43), cât și rețeaua stradală din localitățile Horia, Cloșca și Florești. Proiectele au vizat îmbunătățirea accesibilității și a condițiilor de circulație în toate satele componente ale comunei.</w:t>
      </w:r>
    </w:p>
    <w:p w14:paraId="7EFEC55A" w14:textId="63B1BC9A"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30</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Horia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10A86119" w14:textId="77777777" w:rsidTr="00C309C6">
        <w:trPr>
          <w:jc w:val="center"/>
        </w:trPr>
        <w:tc>
          <w:tcPr>
            <w:tcW w:w="2057" w:type="pct"/>
            <w:shd w:val="clear" w:color="auto" w:fill="3B3838" w:themeFill="background2" w:themeFillShade="40"/>
            <w:vAlign w:val="center"/>
          </w:tcPr>
          <w:p w14:paraId="0EE5F81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276B87D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6347E64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585A061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053C3FA4" w14:textId="77777777" w:rsidTr="00C309C6">
        <w:trPr>
          <w:trHeight w:val="137"/>
          <w:jc w:val="center"/>
        </w:trPr>
        <w:tc>
          <w:tcPr>
            <w:tcW w:w="2057" w:type="pct"/>
            <w:shd w:val="clear" w:color="auto" w:fill="E7E6E6" w:themeFill="background2"/>
            <w:vAlign w:val="center"/>
          </w:tcPr>
          <w:p w14:paraId="26A1AD2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DC 43</w:t>
            </w:r>
          </w:p>
        </w:tc>
        <w:tc>
          <w:tcPr>
            <w:tcW w:w="1246" w:type="pct"/>
            <w:shd w:val="clear" w:color="auto" w:fill="E7E6E6" w:themeFill="background2"/>
            <w:vAlign w:val="center"/>
          </w:tcPr>
          <w:p w14:paraId="237CD6C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0747BAA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5D05AE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3.825.410</w:t>
            </w:r>
          </w:p>
        </w:tc>
      </w:tr>
      <w:tr w:rsidR="00AF66BB" w:rsidRPr="007D3D4F" w14:paraId="0B7FD02E" w14:textId="77777777" w:rsidTr="00C309C6">
        <w:trPr>
          <w:jc w:val="center"/>
        </w:trPr>
        <w:tc>
          <w:tcPr>
            <w:tcW w:w="2057" w:type="pct"/>
            <w:shd w:val="clear" w:color="auto" w:fill="E7E6E6" w:themeFill="background2"/>
            <w:vAlign w:val="center"/>
          </w:tcPr>
          <w:p w14:paraId="7362236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drum DC 43 Horia-Florești, comuna Florești</w:t>
            </w:r>
          </w:p>
        </w:tc>
        <w:tc>
          <w:tcPr>
            <w:tcW w:w="1246" w:type="pct"/>
            <w:shd w:val="clear" w:color="auto" w:fill="E7E6E6" w:themeFill="background2"/>
            <w:vAlign w:val="center"/>
          </w:tcPr>
          <w:p w14:paraId="16F4584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36EB17A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3F7FBB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1.367.801,07</w:t>
            </w:r>
          </w:p>
        </w:tc>
      </w:tr>
      <w:tr w:rsidR="00AF66BB" w:rsidRPr="007D3D4F" w14:paraId="1F687B71" w14:textId="77777777" w:rsidTr="00C309C6">
        <w:trPr>
          <w:jc w:val="center"/>
        </w:trPr>
        <w:tc>
          <w:tcPr>
            <w:tcW w:w="2057" w:type="pct"/>
            <w:shd w:val="clear" w:color="auto" w:fill="E7E6E6" w:themeFill="background2"/>
            <w:vAlign w:val="center"/>
          </w:tcPr>
          <w:p w14:paraId="4162399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DC 42, Horia - Cloșca, comuna Horia, județul Tulcea</w:t>
            </w:r>
          </w:p>
        </w:tc>
        <w:tc>
          <w:tcPr>
            <w:tcW w:w="1246" w:type="pct"/>
            <w:shd w:val="clear" w:color="auto" w:fill="E7E6E6" w:themeFill="background2"/>
            <w:vAlign w:val="center"/>
          </w:tcPr>
          <w:p w14:paraId="70476D1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7F31813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93633A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2.419.798,25</w:t>
            </w:r>
          </w:p>
        </w:tc>
      </w:tr>
      <w:tr w:rsidR="00AF66BB" w:rsidRPr="007D3D4F" w14:paraId="33AA8536" w14:textId="77777777" w:rsidTr="00C309C6">
        <w:trPr>
          <w:jc w:val="center"/>
        </w:trPr>
        <w:tc>
          <w:tcPr>
            <w:tcW w:w="2057" w:type="pct"/>
            <w:shd w:val="clear" w:color="auto" w:fill="E7E6E6" w:themeFill="background2"/>
            <w:vAlign w:val="center"/>
          </w:tcPr>
          <w:p w14:paraId="0654558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în localitatea Horia, județul Tulcea</w:t>
            </w:r>
          </w:p>
        </w:tc>
        <w:tc>
          <w:tcPr>
            <w:tcW w:w="1246" w:type="pct"/>
            <w:shd w:val="clear" w:color="auto" w:fill="E7E6E6" w:themeFill="background2"/>
            <w:vAlign w:val="center"/>
          </w:tcPr>
          <w:p w14:paraId="6C60D2D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5986271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A95E62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2.124.419,40</w:t>
            </w:r>
          </w:p>
        </w:tc>
      </w:tr>
      <w:tr w:rsidR="00AF66BB" w:rsidRPr="007D3D4F" w14:paraId="6D6A2119" w14:textId="77777777" w:rsidTr="00C309C6">
        <w:trPr>
          <w:jc w:val="center"/>
        </w:trPr>
        <w:tc>
          <w:tcPr>
            <w:tcW w:w="2057" w:type="pct"/>
            <w:shd w:val="clear" w:color="auto" w:fill="E7E6E6" w:themeFill="background2"/>
            <w:vAlign w:val="center"/>
          </w:tcPr>
          <w:p w14:paraId="2FC540C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străzi în localitatea Cloșca, comuna Horia, jud Tulcea</w:t>
            </w:r>
          </w:p>
        </w:tc>
        <w:tc>
          <w:tcPr>
            <w:tcW w:w="1246" w:type="pct"/>
            <w:shd w:val="clear" w:color="auto" w:fill="E7E6E6" w:themeFill="background2"/>
            <w:vAlign w:val="center"/>
          </w:tcPr>
          <w:p w14:paraId="3D54170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5E04022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AD30B6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2.533.370</w:t>
            </w:r>
          </w:p>
        </w:tc>
      </w:tr>
      <w:tr w:rsidR="00AF66BB" w:rsidRPr="007D3D4F" w14:paraId="4BC8AD58" w14:textId="77777777" w:rsidTr="00C309C6">
        <w:trPr>
          <w:jc w:val="center"/>
        </w:trPr>
        <w:tc>
          <w:tcPr>
            <w:tcW w:w="2057" w:type="pct"/>
            <w:shd w:val="clear" w:color="auto" w:fill="E7E6E6" w:themeFill="background2"/>
            <w:vAlign w:val="center"/>
          </w:tcPr>
          <w:p w14:paraId="1B84A76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străzi în localitatea Florești, comuna Horia, jud Tulcea</w:t>
            </w:r>
          </w:p>
        </w:tc>
        <w:tc>
          <w:tcPr>
            <w:tcW w:w="1246" w:type="pct"/>
            <w:shd w:val="clear" w:color="auto" w:fill="E7E6E6" w:themeFill="background2"/>
            <w:vAlign w:val="center"/>
          </w:tcPr>
          <w:p w14:paraId="4B16124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8C7DFB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6DD887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4.490.259</w:t>
            </w:r>
          </w:p>
        </w:tc>
      </w:tr>
      <w:tr w:rsidR="00AF66BB" w:rsidRPr="007D3D4F" w14:paraId="449D9776" w14:textId="77777777" w:rsidTr="00C309C6">
        <w:trPr>
          <w:jc w:val="center"/>
        </w:trPr>
        <w:tc>
          <w:tcPr>
            <w:tcW w:w="2057" w:type="pct"/>
            <w:shd w:val="clear" w:color="auto" w:fill="E7E6E6" w:themeFill="background2"/>
            <w:vAlign w:val="center"/>
          </w:tcPr>
          <w:p w14:paraId="6CAEF5B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străzi Horia, județul Tulcea</w:t>
            </w:r>
          </w:p>
        </w:tc>
        <w:tc>
          <w:tcPr>
            <w:tcW w:w="1246" w:type="pct"/>
            <w:shd w:val="clear" w:color="auto" w:fill="E7E6E6" w:themeFill="background2"/>
            <w:vAlign w:val="center"/>
          </w:tcPr>
          <w:p w14:paraId="0F14504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1958B10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A8B147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5.036.607</w:t>
            </w:r>
          </w:p>
        </w:tc>
      </w:tr>
      <w:tr w:rsidR="00AF66BB" w:rsidRPr="007D3D4F" w14:paraId="2D47D1B7" w14:textId="77777777" w:rsidTr="00C309C6">
        <w:trPr>
          <w:trHeight w:val="133"/>
          <w:jc w:val="center"/>
        </w:trPr>
        <w:tc>
          <w:tcPr>
            <w:tcW w:w="4082" w:type="pct"/>
            <w:gridSpan w:val="3"/>
            <w:shd w:val="clear" w:color="auto" w:fill="767171" w:themeFill="background2" w:themeFillShade="80"/>
            <w:vAlign w:val="center"/>
          </w:tcPr>
          <w:p w14:paraId="6CC86F8B"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606C13FE"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21.797.665</w:t>
            </w:r>
          </w:p>
        </w:tc>
      </w:tr>
    </w:tbl>
    <w:p w14:paraId="3745162C"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707074C4"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orașul Isaccea au fost implementate două proiecte de modernizare a infrastructurii rutiere, cu o valoare totală de peste 12,5 milioane lei. Primul proiect a fost finanțat prin PNDL I, iar al doilea – etapa a II-a a lucrărilor – prin PNDL II. Investițiile au vizat modernizarea drumurilor publice din oraș, contribuind la îmbunătățirea mobilității urbane și la creșterea calității vieții locuitorilor.</w:t>
      </w:r>
    </w:p>
    <w:p w14:paraId="253C7ACA" w14:textId="32F35ADE"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31</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Orașul Isaccea prin Programul Național Dezvoltare Locală I și II</w:t>
      </w:r>
    </w:p>
    <w:tbl>
      <w:tblPr>
        <w:tblStyle w:val="Tabelgril"/>
        <w:tblW w:w="5000" w:type="pct"/>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7E6E6" w:themeFill="background2"/>
        <w:tblLook w:val="04A0" w:firstRow="1" w:lastRow="0" w:firstColumn="1" w:lastColumn="0" w:noHBand="0" w:noVBand="1"/>
      </w:tblPr>
      <w:tblGrid>
        <w:gridCol w:w="3846"/>
        <w:gridCol w:w="2330"/>
        <w:gridCol w:w="1457"/>
        <w:gridCol w:w="1717"/>
      </w:tblGrid>
      <w:tr w:rsidR="00AF66BB" w:rsidRPr="007D3D4F" w14:paraId="79A1EE0B" w14:textId="77777777" w:rsidTr="00C309C6">
        <w:trPr>
          <w:jc w:val="center"/>
        </w:trPr>
        <w:tc>
          <w:tcPr>
            <w:tcW w:w="2057" w:type="pct"/>
            <w:shd w:val="clear" w:color="auto" w:fill="3B3838" w:themeFill="background2" w:themeFillShade="40"/>
            <w:vAlign w:val="center"/>
          </w:tcPr>
          <w:p w14:paraId="1C3F6D5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4851F01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0A75055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4659AF2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5B788D31" w14:textId="77777777" w:rsidTr="00C309C6">
        <w:trPr>
          <w:trHeight w:val="137"/>
          <w:jc w:val="center"/>
        </w:trPr>
        <w:tc>
          <w:tcPr>
            <w:tcW w:w="2057" w:type="pct"/>
            <w:shd w:val="clear" w:color="auto" w:fill="E7E6E6" w:themeFill="background2"/>
            <w:vAlign w:val="center"/>
          </w:tcPr>
          <w:p w14:paraId="54360BA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drumuri publice în orașul Isaccea, județul Tulcea</w:t>
            </w:r>
          </w:p>
        </w:tc>
        <w:tc>
          <w:tcPr>
            <w:tcW w:w="1246" w:type="pct"/>
            <w:shd w:val="clear" w:color="auto" w:fill="E7E6E6" w:themeFill="background2"/>
            <w:vAlign w:val="center"/>
          </w:tcPr>
          <w:p w14:paraId="38695EE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3D6BADD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6F8379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2.854.645,16</w:t>
            </w:r>
          </w:p>
        </w:tc>
      </w:tr>
      <w:tr w:rsidR="00AF66BB" w:rsidRPr="007D3D4F" w14:paraId="60B687FA" w14:textId="77777777" w:rsidTr="00C309C6">
        <w:trPr>
          <w:jc w:val="center"/>
        </w:trPr>
        <w:tc>
          <w:tcPr>
            <w:tcW w:w="2057" w:type="pct"/>
            <w:shd w:val="clear" w:color="auto" w:fill="E7E6E6" w:themeFill="background2"/>
            <w:vAlign w:val="center"/>
          </w:tcPr>
          <w:p w14:paraId="3ACD70A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drumuri publice în UAT Isaccea, județul Tulcea, etapa a II a</w:t>
            </w:r>
          </w:p>
        </w:tc>
        <w:tc>
          <w:tcPr>
            <w:tcW w:w="1246" w:type="pct"/>
            <w:shd w:val="clear" w:color="auto" w:fill="E7E6E6" w:themeFill="background2"/>
            <w:vAlign w:val="center"/>
          </w:tcPr>
          <w:p w14:paraId="7666DCE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633572E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485811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9.706.850</w:t>
            </w:r>
          </w:p>
        </w:tc>
      </w:tr>
      <w:tr w:rsidR="00AF66BB" w:rsidRPr="007D3D4F" w14:paraId="22396A14" w14:textId="77777777" w:rsidTr="00C309C6">
        <w:trPr>
          <w:trHeight w:val="133"/>
          <w:jc w:val="center"/>
        </w:trPr>
        <w:tc>
          <w:tcPr>
            <w:tcW w:w="4082" w:type="pct"/>
            <w:gridSpan w:val="3"/>
            <w:shd w:val="clear" w:color="auto" w:fill="767171" w:themeFill="background2" w:themeFillShade="80"/>
            <w:vAlign w:val="center"/>
          </w:tcPr>
          <w:p w14:paraId="558B713D"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61840ED2"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12.561.495,21</w:t>
            </w:r>
          </w:p>
        </w:tc>
      </w:tr>
    </w:tbl>
    <w:p w14:paraId="0FA7484D"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1F8D6CF2"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lastRenderedPageBreak/>
        <w:t>În comuna Izvoarele au fost derulate trei proiecte de modernizare a infrastructurii rutiere, cu o valoare totală ce depășește 17,8 milioane lei. Două dintre acestea au fost finanțate prin PNDL I și au vizat în special modernizarea drumurilor locale și amenajarea centrului civic, iar cel de-al treilea proiect, finanțat prin PNDL II, a fost unul de amploare, dedicat modernizării infrastructurii drumurilor comunale din localitate. Aceste investiții au contribuit semnificativ la îmbunătățirea accesibilității și a calității infrastructurii din comună.</w:t>
      </w:r>
    </w:p>
    <w:p w14:paraId="0F993185" w14:textId="5993F949"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32</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Izvoarele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135BE839" w14:textId="77777777" w:rsidTr="00C309C6">
        <w:trPr>
          <w:jc w:val="center"/>
        </w:trPr>
        <w:tc>
          <w:tcPr>
            <w:tcW w:w="2057" w:type="pct"/>
            <w:shd w:val="clear" w:color="auto" w:fill="3B3838" w:themeFill="background2" w:themeFillShade="40"/>
            <w:vAlign w:val="center"/>
          </w:tcPr>
          <w:p w14:paraId="030D783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36CA632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0D49877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58DF8E1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7380091D" w14:textId="77777777" w:rsidTr="00C309C6">
        <w:trPr>
          <w:trHeight w:val="137"/>
          <w:jc w:val="center"/>
        </w:trPr>
        <w:tc>
          <w:tcPr>
            <w:tcW w:w="2057" w:type="pct"/>
            <w:shd w:val="clear" w:color="auto" w:fill="E7E6E6" w:themeFill="background2"/>
            <w:vAlign w:val="center"/>
          </w:tcPr>
          <w:p w14:paraId="47E8859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drumuri locale, înființare trotuare de‐a lungul DN22F si amenajare centru civic3,6 km</w:t>
            </w:r>
          </w:p>
        </w:tc>
        <w:tc>
          <w:tcPr>
            <w:tcW w:w="1246" w:type="pct"/>
            <w:shd w:val="clear" w:color="auto" w:fill="E7E6E6" w:themeFill="background2"/>
            <w:vAlign w:val="center"/>
          </w:tcPr>
          <w:p w14:paraId="3E598BC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0C544BA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8E710E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3.044.080</w:t>
            </w:r>
          </w:p>
        </w:tc>
      </w:tr>
      <w:tr w:rsidR="00AF66BB" w:rsidRPr="007D3D4F" w14:paraId="2058BDF9" w14:textId="77777777" w:rsidTr="00C309C6">
        <w:trPr>
          <w:trHeight w:val="137"/>
          <w:jc w:val="center"/>
        </w:trPr>
        <w:tc>
          <w:tcPr>
            <w:tcW w:w="2057" w:type="pct"/>
            <w:shd w:val="clear" w:color="auto" w:fill="E7E6E6" w:themeFill="background2"/>
            <w:vAlign w:val="center"/>
          </w:tcPr>
          <w:p w14:paraId="11EA9B4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drumuri locale, înființare trotuare de-a lungul DN 22 F, amenajare centru civic localitatea Izvoarele, 3,6 km, comuna Izvoarele</w:t>
            </w:r>
          </w:p>
        </w:tc>
        <w:tc>
          <w:tcPr>
            <w:tcW w:w="1246" w:type="pct"/>
            <w:shd w:val="clear" w:color="auto" w:fill="E7E6E6" w:themeFill="background2"/>
            <w:vAlign w:val="center"/>
          </w:tcPr>
          <w:p w14:paraId="705351B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4774089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97B758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290.237,29</w:t>
            </w:r>
          </w:p>
        </w:tc>
      </w:tr>
      <w:tr w:rsidR="00AF66BB" w:rsidRPr="007D3D4F" w14:paraId="6CC2822D" w14:textId="77777777" w:rsidTr="00C309C6">
        <w:trPr>
          <w:jc w:val="center"/>
        </w:trPr>
        <w:tc>
          <w:tcPr>
            <w:tcW w:w="2057" w:type="pct"/>
            <w:shd w:val="clear" w:color="auto" w:fill="E7E6E6" w:themeFill="background2"/>
            <w:vAlign w:val="center"/>
          </w:tcPr>
          <w:p w14:paraId="077CAB9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infrastructura drumuri comunale in localitatea Izvoarele, județul Tulcea</w:t>
            </w:r>
          </w:p>
        </w:tc>
        <w:tc>
          <w:tcPr>
            <w:tcW w:w="1246" w:type="pct"/>
            <w:shd w:val="clear" w:color="auto" w:fill="E7E6E6" w:themeFill="background2"/>
            <w:vAlign w:val="center"/>
          </w:tcPr>
          <w:p w14:paraId="54CF60D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32C2557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456B09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14.475.112</w:t>
            </w:r>
          </w:p>
        </w:tc>
      </w:tr>
      <w:tr w:rsidR="00AF66BB" w:rsidRPr="007D3D4F" w14:paraId="67EDF578" w14:textId="77777777" w:rsidTr="00C309C6">
        <w:trPr>
          <w:trHeight w:val="133"/>
          <w:jc w:val="center"/>
        </w:trPr>
        <w:tc>
          <w:tcPr>
            <w:tcW w:w="4082" w:type="pct"/>
            <w:gridSpan w:val="3"/>
            <w:shd w:val="clear" w:color="auto" w:fill="767171" w:themeFill="background2" w:themeFillShade="80"/>
            <w:vAlign w:val="center"/>
          </w:tcPr>
          <w:p w14:paraId="7D08DDF2"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583798CE"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17.809.429</w:t>
            </w:r>
          </w:p>
        </w:tc>
      </w:tr>
    </w:tbl>
    <w:p w14:paraId="2EEEE63E"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1E03B6B6"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Jijila, prin Programul Național de Dezvoltare Locală II au fost finanțate două proiecte cu o valoare totală de peste 7,2 milioane lei. Investițiile s-au concentrat pe modernizarea și reabilitarea infrastructurii rutiere locale, având ca rezultat îmbunătățirea accesului în interiorul localității și creșterea calității infrastructurii de transport pentru locuitori. Proiectul principal, cu o valoare de peste 6,7 milioane lei, a vizat modernizarea drumurilor locale, ceea ce indică o intervenție extinsă la nivelul rețelei rutiere comunale.</w:t>
      </w:r>
    </w:p>
    <w:p w14:paraId="0F8523F6" w14:textId="6D97A96D"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33</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Jijila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47920495" w14:textId="77777777" w:rsidTr="00C309C6">
        <w:trPr>
          <w:jc w:val="center"/>
        </w:trPr>
        <w:tc>
          <w:tcPr>
            <w:tcW w:w="2057" w:type="pct"/>
            <w:shd w:val="clear" w:color="auto" w:fill="3B3838" w:themeFill="background2" w:themeFillShade="40"/>
            <w:vAlign w:val="center"/>
          </w:tcPr>
          <w:p w14:paraId="01C13E8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6D898B2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50AD230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1D25A0A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17DA0D9D" w14:textId="77777777" w:rsidTr="00C309C6">
        <w:trPr>
          <w:trHeight w:val="137"/>
          <w:jc w:val="center"/>
        </w:trPr>
        <w:tc>
          <w:tcPr>
            <w:tcW w:w="2057" w:type="pct"/>
            <w:shd w:val="clear" w:color="auto" w:fill="E7E6E6" w:themeFill="background2"/>
            <w:vAlign w:val="center"/>
          </w:tcPr>
          <w:p w14:paraId="47C6AC0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drumuri locale în comuna Jijila, județul Tulcea</w:t>
            </w:r>
          </w:p>
        </w:tc>
        <w:tc>
          <w:tcPr>
            <w:tcW w:w="1246" w:type="pct"/>
            <w:shd w:val="clear" w:color="auto" w:fill="E7E6E6" w:themeFill="background2"/>
            <w:vAlign w:val="center"/>
          </w:tcPr>
          <w:p w14:paraId="2BC1A77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3F413DF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4F2209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6.704.511</w:t>
            </w:r>
          </w:p>
        </w:tc>
      </w:tr>
      <w:tr w:rsidR="00AF66BB" w:rsidRPr="007D3D4F" w14:paraId="16FBB27A" w14:textId="77777777" w:rsidTr="00C309C6">
        <w:trPr>
          <w:trHeight w:val="137"/>
          <w:jc w:val="center"/>
        </w:trPr>
        <w:tc>
          <w:tcPr>
            <w:tcW w:w="2057" w:type="pct"/>
            <w:shd w:val="clear" w:color="auto" w:fill="E7E6E6" w:themeFill="background2"/>
            <w:vAlign w:val="center"/>
          </w:tcPr>
          <w:p w14:paraId="23490D1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infrastructură în comuna Jijila, județul Tulcea</w:t>
            </w:r>
          </w:p>
        </w:tc>
        <w:tc>
          <w:tcPr>
            <w:tcW w:w="1246" w:type="pct"/>
            <w:shd w:val="clear" w:color="auto" w:fill="E7E6E6" w:themeFill="background2"/>
            <w:vAlign w:val="center"/>
          </w:tcPr>
          <w:p w14:paraId="4486EE2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076B827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2782A4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521.026</w:t>
            </w:r>
          </w:p>
        </w:tc>
      </w:tr>
      <w:tr w:rsidR="00AF66BB" w:rsidRPr="007D3D4F" w14:paraId="7A72EAED" w14:textId="77777777" w:rsidTr="00C309C6">
        <w:trPr>
          <w:trHeight w:val="133"/>
          <w:jc w:val="center"/>
        </w:trPr>
        <w:tc>
          <w:tcPr>
            <w:tcW w:w="4082" w:type="pct"/>
            <w:gridSpan w:val="3"/>
            <w:shd w:val="clear" w:color="auto" w:fill="767171" w:themeFill="background2" w:themeFillShade="80"/>
            <w:vAlign w:val="center"/>
          </w:tcPr>
          <w:p w14:paraId="50FAB861"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3D8034B5"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7.225.537</w:t>
            </w:r>
          </w:p>
        </w:tc>
      </w:tr>
    </w:tbl>
    <w:p w14:paraId="25AB8ADF"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0FB61C2" w14:textId="77777777" w:rsidR="00AF66BB"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Jurilovca a fost implementat un proiect de asfaltare a străzilor, finanțat prin PNDL II, cu o valoare totală de 10.242.531 lei. Investiția reflectă o intervenție substanțială asupra infrastructurii rutiere locale, contribuind la îmbunătățirea accesibilității și mobilității în interiorul comunei, precum și la creșterea calității vieții pentru locuitori. Deși este un singur proiect, amploarea sa financiară indică o acoperire extinsă a lucrărilor de modernizare rutieră.</w:t>
      </w:r>
    </w:p>
    <w:p w14:paraId="2887F3A6" w14:textId="77777777" w:rsidR="00333AE8" w:rsidRPr="007D3D4F" w:rsidRDefault="00333AE8" w:rsidP="004C072F">
      <w:pPr>
        <w:pStyle w:val="Smn"/>
        <w:contextualSpacing/>
        <w:rPr>
          <w:rFonts w:ascii="Times New Roman" w:hAnsi="Times New Roman" w:cs="Times New Roman"/>
          <w:sz w:val="22"/>
          <w:szCs w:val="22"/>
        </w:rPr>
      </w:pPr>
    </w:p>
    <w:p w14:paraId="06E213AA" w14:textId="24EBCB42"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34</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Jurilovca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3DB02908" w14:textId="77777777" w:rsidTr="00C309C6">
        <w:trPr>
          <w:jc w:val="center"/>
        </w:trPr>
        <w:tc>
          <w:tcPr>
            <w:tcW w:w="2057" w:type="pct"/>
            <w:shd w:val="clear" w:color="auto" w:fill="3B3838" w:themeFill="background2" w:themeFillShade="40"/>
            <w:vAlign w:val="center"/>
          </w:tcPr>
          <w:p w14:paraId="2A191F7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20D9401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497BC79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2CA47F3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0ABEA54A" w14:textId="77777777" w:rsidTr="00C309C6">
        <w:trPr>
          <w:trHeight w:val="137"/>
          <w:jc w:val="center"/>
        </w:trPr>
        <w:tc>
          <w:tcPr>
            <w:tcW w:w="2057" w:type="pct"/>
            <w:shd w:val="clear" w:color="auto" w:fill="E7E6E6" w:themeFill="background2"/>
            <w:vAlign w:val="center"/>
          </w:tcPr>
          <w:p w14:paraId="2A22F485"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străzi în comuna Jurilovca, județul Tulcea</w:t>
            </w:r>
          </w:p>
        </w:tc>
        <w:tc>
          <w:tcPr>
            <w:tcW w:w="1246" w:type="pct"/>
            <w:shd w:val="clear" w:color="auto" w:fill="E7E6E6" w:themeFill="background2"/>
            <w:vAlign w:val="center"/>
          </w:tcPr>
          <w:p w14:paraId="1A0B594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406CACC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42DC3D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10.242.531</w:t>
            </w:r>
          </w:p>
        </w:tc>
      </w:tr>
    </w:tbl>
    <w:p w14:paraId="4ED7B25E"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3E2999D"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Luncavița au fost implementate trei proiecte majore de infrastructură rutieră prin PNDL I și II, cu o valoare totală de peste 36 milioane lei. Aceste investiții au vizat îmbunătățirea și asfaltarea drumurilor de interes local contribuind la o conectivitate sporită și la îmbunătățirea condițiilor de mobilitate pentru locuitori.</w:t>
      </w:r>
    </w:p>
    <w:p w14:paraId="672BF13A" w14:textId="0FEC61C5"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35</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Luncavița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1F1AE12F" w14:textId="77777777" w:rsidTr="00C309C6">
        <w:trPr>
          <w:jc w:val="center"/>
        </w:trPr>
        <w:tc>
          <w:tcPr>
            <w:tcW w:w="2057" w:type="pct"/>
            <w:shd w:val="clear" w:color="auto" w:fill="3B3838" w:themeFill="background2" w:themeFillShade="40"/>
            <w:vAlign w:val="center"/>
          </w:tcPr>
          <w:p w14:paraId="1BD22C1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68F1548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0D449C6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1C3101B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069F3556" w14:textId="77777777" w:rsidTr="00C309C6">
        <w:trPr>
          <w:trHeight w:val="137"/>
          <w:jc w:val="center"/>
        </w:trPr>
        <w:tc>
          <w:tcPr>
            <w:tcW w:w="2057" w:type="pct"/>
            <w:shd w:val="clear" w:color="auto" w:fill="E7E6E6" w:themeFill="background2"/>
            <w:vAlign w:val="center"/>
          </w:tcPr>
          <w:p w14:paraId="653D818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Îmbunătățirea rețelei de drumuri de interes local din comuna Luncavița, județul Tulcea</w:t>
            </w:r>
          </w:p>
        </w:tc>
        <w:tc>
          <w:tcPr>
            <w:tcW w:w="1246" w:type="pct"/>
            <w:shd w:val="clear" w:color="auto" w:fill="E7E6E6" w:themeFill="background2"/>
            <w:vAlign w:val="center"/>
          </w:tcPr>
          <w:p w14:paraId="039F978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1C85BED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1F6DD9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2.709.411,30</w:t>
            </w:r>
          </w:p>
        </w:tc>
      </w:tr>
      <w:tr w:rsidR="00AF66BB" w:rsidRPr="007D3D4F" w14:paraId="30FE46A2" w14:textId="77777777" w:rsidTr="00C309C6">
        <w:trPr>
          <w:trHeight w:val="137"/>
          <w:jc w:val="center"/>
        </w:trPr>
        <w:tc>
          <w:tcPr>
            <w:tcW w:w="2057" w:type="pct"/>
            <w:shd w:val="clear" w:color="auto" w:fill="E7E6E6" w:themeFill="background2"/>
            <w:vAlign w:val="center"/>
          </w:tcPr>
          <w:p w14:paraId="24CDCB0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Asfaltarea drumurilor de interes local în comuna Luncavița, jud Tulcea</w:t>
            </w:r>
          </w:p>
        </w:tc>
        <w:tc>
          <w:tcPr>
            <w:tcW w:w="1246" w:type="pct"/>
            <w:shd w:val="clear" w:color="auto" w:fill="E7E6E6" w:themeFill="background2"/>
            <w:vAlign w:val="center"/>
          </w:tcPr>
          <w:p w14:paraId="05F3B56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7181DCD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E013FE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24.033.498</w:t>
            </w:r>
          </w:p>
        </w:tc>
      </w:tr>
      <w:tr w:rsidR="00AF66BB" w:rsidRPr="007D3D4F" w14:paraId="01EA3016" w14:textId="77777777" w:rsidTr="00C309C6">
        <w:trPr>
          <w:trHeight w:val="137"/>
          <w:jc w:val="center"/>
        </w:trPr>
        <w:tc>
          <w:tcPr>
            <w:tcW w:w="2057" w:type="pct"/>
            <w:shd w:val="clear" w:color="auto" w:fill="E7E6E6" w:themeFill="background2"/>
            <w:vAlign w:val="center"/>
          </w:tcPr>
          <w:p w14:paraId="25E87F0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Modernizarea rețelei de drumuri de interes local în localitatea Luncavița, comuna Luncavița, județul Tulcea</w:t>
            </w:r>
          </w:p>
        </w:tc>
        <w:tc>
          <w:tcPr>
            <w:tcW w:w="1246" w:type="pct"/>
            <w:shd w:val="clear" w:color="auto" w:fill="E7E6E6" w:themeFill="background2"/>
            <w:vAlign w:val="center"/>
          </w:tcPr>
          <w:p w14:paraId="635E290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E57CFB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9C7D2A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9.538.705</w:t>
            </w:r>
          </w:p>
        </w:tc>
      </w:tr>
      <w:tr w:rsidR="00AF66BB" w:rsidRPr="007D3D4F" w14:paraId="004D3EC9" w14:textId="77777777" w:rsidTr="00C309C6">
        <w:trPr>
          <w:trHeight w:val="133"/>
          <w:jc w:val="center"/>
        </w:trPr>
        <w:tc>
          <w:tcPr>
            <w:tcW w:w="4082" w:type="pct"/>
            <w:gridSpan w:val="3"/>
            <w:shd w:val="clear" w:color="auto" w:fill="767171" w:themeFill="background2" w:themeFillShade="80"/>
            <w:vAlign w:val="center"/>
          </w:tcPr>
          <w:p w14:paraId="10436B93"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0582A6FF"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36.281.614,30</w:t>
            </w:r>
          </w:p>
        </w:tc>
      </w:tr>
    </w:tbl>
    <w:p w14:paraId="2E6E56B3"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5A00D4EA"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Comuna Maliuc a beneficiat de o investiție în infrastructura rutieră prin Programul Național de Dezvoltare Locală II, în valoare de peste 2,4 milioane lei. Proiectul a vizat modernizarea drumului comunal DC 2, pe tronsonul dintre km 4+600 și km 7+080, situat în intravilanul satului Partizani, contribuind la îmbunătățirea accesibilității în zonă.</w:t>
      </w:r>
    </w:p>
    <w:p w14:paraId="6CF4EC99" w14:textId="42BCC45C"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36</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Maliuc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100698C9" w14:textId="77777777" w:rsidTr="00C309C6">
        <w:trPr>
          <w:jc w:val="center"/>
        </w:trPr>
        <w:tc>
          <w:tcPr>
            <w:tcW w:w="2057" w:type="pct"/>
            <w:shd w:val="clear" w:color="auto" w:fill="3B3838" w:themeFill="background2" w:themeFillShade="40"/>
            <w:vAlign w:val="center"/>
          </w:tcPr>
          <w:p w14:paraId="0B25906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3B20E18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777907C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792B5FC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2ABE8EF" w14:textId="77777777" w:rsidTr="00C309C6">
        <w:trPr>
          <w:trHeight w:val="137"/>
          <w:jc w:val="center"/>
        </w:trPr>
        <w:tc>
          <w:tcPr>
            <w:tcW w:w="2057" w:type="pct"/>
            <w:shd w:val="clear" w:color="auto" w:fill="E7E6E6" w:themeFill="background2"/>
            <w:vAlign w:val="center"/>
          </w:tcPr>
          <w:p w14:paraId="682006B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 comunal DC 2 între km 4+600 si km 7+080 intravilan sat Partizani, comuna Maliuc, jud Tulcea</w:t>
            </w:r>
          </w:p>
        </w:tc>
        <w:tc>
          <w:tcPr>
            <w:tcW w:w="1246" w:type="pct"/>
            <w:shd w:val="clear" w:color="auto" w:fill="E7E6E6" w:themeFill="background2"/>
            <w:vAlign w:val="center"/>
          </w:tcPr>
          <w:p w14:paraId="2FAFC24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04BCDF0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CC5FDF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2.401.885</w:t>
            </w:r>
          </w:p>
        </w:tc>
      </w:tr>
    </w:tbl>
    <w:p w14:paraId="0813DF43"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7D68B6EC" w14:textId="77777777" w:rsidR="00AF66BB"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Orașul Măcin a beneficiat de finanțări semnificative prin PNDL I și II pentru modernizarea infrastructurii rutiere, cu un buget total de peste 36 milioane lei. În cadrul acestor investiții, a fost modernizată strada Alexandru Lăpușneanu, iar ulterior, prin PNDL II, a fost extinsă intervenția la nivelul mai multor străzi din oraș, contribuind astfel la creșterea calității vieții și mobilității urbane.</w:t>
      </w:r>
    </w:p>
    <w:p w14:paraId="0EE3E17D" w14:textId="77777777" w:rsidR="00333AE8" w:rsidRDefault="00333AE8" w:rsidP="004C072F">
      <w:pPr>
        <w:pStyle w:val="Smn"/>
        <w:contextualSpacing/>
        <w:rPr>
          <w:rFonts w:ascii="Times New Roman" w:hAnsi="Times New Roman" w:cs="Times New Roman"/>
          <w:sz w:val="22"/>
          <w:szCs w:val="22"/>
        </w:rPr>
      </w:pPr>
    </w:p>
    <w:p w14:paraId="6D9A64C4" w14:textId="77777777" w:rsidR="00333AE8" w:rsidRDefault="00333AE8" w:rsidP="004C072F">
      <w:pPr>
        <w:pStyle w:val="Smn"/>
        <w:contextualSpacing/>
        <w:rPr>
          <w:rFonts w:ascii="Times New Roman" w:hAnsi="Times New Roman" w:cs="Times New Roman"/>
          <w:sz w:val="22"/>
          <w:szCs w:val="22"/>
        </w:rPr>
      </w:pPr>
    </w:p>
    <w:p w14:paraId="67854719" w14:textId="77777777" w:rsidR="00333AE8" w:rsidRPr="007D3D4F" w:rsidRDefault="00333AE8" w:rsidP="004C072F">
      <w:pPr>
        <w:pStyle w:val="Smn"/>
        <w:contextualSpacing/>
        <w:rPr>
          <w:rFonts w:ascii="Times New Roman" w:hAnsi="Times New Roman" w:cs="Times New Roman"/>
          <w:sz w:val="22"/>
          <w:szCs w:val="22"/>
        </w:rPr>
      </w:pPr>
    </w:p>
    <w:p w14:paraId="353E74AB" w14:textId="296E7EA1"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37</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Orașul Măcin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56DB4701" w14:textId="77777777" w:rsidTr="00C309C6">
        <w:trPr>
          <w:jc w:val="center"/>
        </w:trPr>
        <w:tc>
          <w:tcPr>
            <w:tcW w:w="2057" w:type="pct"/>
            <w:shd w:val="clear" w:color="auto" w:fill="3B3838" w:themeFill="background2" w:themeFillShade="40"/>
            <w:vAlign w:val="center"/>
          </w:tcPr>
          <w:p w14:paraId="380EA48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24CBACA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34AB976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35DC134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16ABCFA2" w14:textId="77777777" w:rsidTr="00C309C6">
        <w:trPr>
          <w:trHeight w:val="137"/>
          <w:jc w:val="center"/>
        </w:trPr>
        <w:tc>
          <w:tcPr>
            <w:tcW w:w="2057" w:type="pct"/>
            <w:shd w:val="clear" w:color="auto" w:fill="E7E6E6" w:themeFill="background2"/>
            <w:vAlign w:val="center"/>
          </w:tcPr>
          <w:p w14:paraId="353FD98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strada Alexandru Lăpușneanu, oraș Măcin, județul Tulcea</w:t>
            </w:r>
          </w:p>
        </w:tc>
        <w:tc>
          <w:tcPr>
            <w:tcW w:w="1246" w:type="pct"/>
            <w:shd w:val="clear" w:color="auto" w:fill="E7E6E6" w:themeFill="background2"/>
            <w:vAlign w:val="center"/>
          </w:tcPr>
          <w:p w14:paraId="6D8862D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24457DD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8F8AA5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234.139,96</w:t>
            </w:r>
          </w:p>
        </w:tc>
      </w:tr>
      <w:tr w:rsidR="00AF66BB" w:rsidRPr="007D3D4F" w14:paraId="0624FBE0" w14:textId="77777777" w:rsidTr="00C309C6">
        <w:trPr>
          <w:trHeight w:val="137"/>
          <w:jc w:val="center"/>
        </w:trPr>
        <w:tc>
          <w:tcPr>
            <w:tcW w:w="2057" w:type="pct"/>
            <w:shd w:val="clear" w:color="auto" w:fill="E7E6E6" w:themeFill="background2"/>
            <w:vAlign w:val="center"/>
          </w:tcPr>
          <w:p w14:paraId="58492F4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în orașul Măcin, județul Tulcea</w:t>
            </w:r>
          </w:p>
        </w:tc>
        <w:tc>
          <w:tcPr>
            <w:tcW w:w="1246" w:type="pct"/>
            <w:shd w:val="clear" w:color="auto" w:fill="E7E6E6" w:themeFill="background2"/>
            <w:vAlign w:val="center"/>
          </w:tcPr>
          <w:p w14:paraId="0AA77DD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5692E8F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D00E38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36.059.871</w:t>
            </w:r>
          </w:p>
        </w:tc>
      </w:tr>
      <w:tr w:rsidR="00AF66BB" w:rsidRPr="007D3D4F" w14:paraId="6A85614B" w14:textId="77777777" w:rsidTr="00C309C6">
        <w:trPr>
          <w:trHeight w:val="133"/>
          <w:jc w:val="center"/>
        </w:trPr>
        <w:tc>
          <w:tcPr>
            <w:tcW w:w="4082" w:type="pct"/>
            <w:gridSpan w:val="3"/>
            <w:shd w:val="clear" w:color="auto" w:fill="767171" w:themeFill="background2" w:themeFillShade="80"/>
            <w:vAlign w:val="center"/>
          </w:tcPr>
          <w:p w14:paraId="53DF6756"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3C8C3977"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36.294.010,71</w:t>
            </w:r>
          </w:p>
        </w:tc>
      </w:tr>
    </w:tbl>
    <w:p w14:paraId="19F27D00"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06B21B0E"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Mihai Bravu, investițiile realizate prin PNDL II au vizat modernizarea drumurilor de interes local, cu o valoare totală de peste 6 milioane lei. Aceste lucrări au contribuit la facilitarea accesului locuitorilor la servicii esențiale.</w:t>
      </w:r>
    </w:p>
    <w:p w14:paraId="79C4A872" w14:textId="1A974EA0"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38</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Mihai Bravu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71CB4DB4" w14:textId="77777777" w:rsidTr="00C309C6">
        <w:trPr>
          <w:jc w:val="center"/>
        </w:trPr>
        <w:tc>
          <w:tcPr>
            <w:tcW w:w="2057" w:type="pct"/>
            <w:shd w:val="clear" w:color="auto" w:fill="3B3838" w:themeFill="background2" w:themeFillShade="40"/>
            <w:vAlign w:val="center"/>
          </w:tcPr>
          <w:p w14:paraId="087F1EB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0FCB264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7F88680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2F0BC68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0B10A476" w14:textId="77777777" w:rsidTr="00C309C6">
        <w:trPr>
          <w:trHeight w:val="137"/>
          <w:jc w:val="center"/>
        </w:trPr>
        <w:tc>
          <w:tcPr>
            <w:tcW w:w="2057" w:type="pct"/>
            <w:shd w:val="clear" w:color="auto" w:fill="E7E6E6" w:themeFill="background2"/>
            <w:vAlign w:val="center"/>
          </w:tcPr>
          <w:p w14:paraId="1F70E27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de interes local in comuna Mihai Bravu, județul Tulcea,</w:t>
            </w:r>
          </w:p>
        </w:tc>
        <w:tc>
          <w:tcPr>
            <w:tcW w:w="1246" w:type="pct"/>
            <w:shd w:val="clear" w:color="auto" w:fill="E7E6E6" w:themeFill="background2"/>
            <w:vAlign w:val="center"/>
          </w:tcPr>
          <w:p w14:paraId="48AD7EB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42E24FB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F195CF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6.136.308</w:t>
            </w:r>
          </w:p>
        </w:tc>
      </w:tr>
    </w:tbl>
    <w:p w14:paraId="1881FAD7"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D80D7E1" w14:textId="77777777" w:rsidR="00AF66BB" w:rsidRPr="00F43CED" w:rsidRDefault="00AF66BB" w:rsidP="004C072F">
      <w:pPr>
        <w:pStyle w:val="Smn"/>
        <w:contextualSpacing/>
        <w:rPr>
          <w:rFonts w:ascii="Times New Roman" w:hAnsi="Times New Roman" w:cs="Times New Roman"/>
          <w:spacing w:val="-4"/>
          <w:sz w:val="22"/>
          <w:szCs w:val="22"/>
        </w:rPr>
      </w:pPr>
      <w:r w:rsidRPr="00F43CED">
        <w:rPr>
          <w:rFonts w:ascii="Times New Roman" w:hAnsi="Times New Roman" w:cs="Times New Roman"/>
          <w:spacing w:val="-4"/>
          <w:sz w:val="22"/>
          <w:szCs w:val="22"/>
        </w:rPr>
        <w:t>Comuna Mihail Kogălniceanu a beneficiat de un portofoliu amplu de proiecte de infrastructură rutieră finanțate prin PNDL I și II, cu o valoare totală de peste 17 milioane lei. Investițiile au vizat modernizarea drumurilor comunale și sătești, asfaltarea străzilor din localitățile Rândunica și Lăstuni, construcția și reabilitarea de podețe, precum și amenajarea trotuarelor și a centrului civic. Aceste intervenții au avut un impact direct asupra mobilității locale, creșterii siguranței rutiere și îmbunătățirii aspectului urban și rural al comunei.</w:t>
      </w:r>
    </w:p>
    <w:p w14:paraId="62E6C168" w14:textId="6BC6E0E8"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39</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Mihail Kogălniceanu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534B1203" w14:textId="77777777" w:rsidTr="00C309C6">
        <w:trPr>
          <w:tblHeader/>
          <w:jc w:val="center"/>
        </w:trPr>
        <w:tc>
          <w:tcPr>
            <w:tcW w:w="2057" w:type="pct"/>
            <w:shd w:val="clear" w:color="auto" w:fill="3B3838" w:themeFill="background2" w:themeFillShade="40"/>
            <w:vAlign w:val="center"/>
          </w:tcPr>
          <w:p w14:paraId="4996977C" w14:textId="77777777" w:rsidR="00AF66BB" w:rsidRPr="007D3D4F" w:rsidRDefault="00AF66BB" w:rsidP="004C072F">
            <w:pPr>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313E4EAF" w14:textId="77777777" w:rsidR="00AF66BB" w:rsidRPr="007D3D4F" w:rsidRDefault="00AF66BB" w:rsidP="004C072F">
            <w:pPr>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3E5D52DC" w14:textId="77777777" w:rsidR="00AF66BB" w:rsidRPr="007D3D4F" w:rsidRDefault="00AF66BB" w:rsidP="004C072F">
            <w:pPr>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1D40A01C" w14:textId="77777777" w:rsidR="00AF66BB" w:rsidRPr="007D3D4F" w:rsidRDefault="00AF66BB" w:rsidP="004C072F">
            <w:pPr>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C25AF8B" w14:textId="77777777" w:rsidTr="00C309C6">
        <w:trPr>
          <w:trHeight w:val="137"/>
          <w:jc w:val="center"/>
        </w:trPr>
        <w:tc>
          <w:tcPr>
            <w:tcW w:w="2057" w:type="pct"/>
            <w:shd w:val="clear" w:color="auto" w:fill="E7E6E6" w:themeFill="background2"/>
            <w:vAlign w:val="center"/>
          </w:tcPr>
          <w:p w14:paraId="01FECDA4"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drumuri, înființare trotuare de-a lungul DN 22 F, amenajare centru civic localitatea Izvoarele, 3,6 km</w:t>
            </w:r>
          </w:p>
        </w:tc>
        <w:tc>
          <w:tcPr>
            <w:tcW w:w="1246" w:type="pct"/>
            <w:shd w:val="clear" w:color="auto" w:fill="E7E6E6" w:themeFill="background2"/>
            <w:vAlign w:val="center"/>
          </w:tcPr>
          <w:p w14:paraId="2723CA2C"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230FB94E"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2D449C1C"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sz w:val="20"/>
                <w:szCs w:val="20"/>
              </w:rPr>
              <w:t>3.422.890</w:t>
            </w:r>
          </w:p>
        </w:tc>
      </w:tr>
      <w:tr w:rsidR="00AF66BB" w:rsidRPr="007D3D4F" w14:paraId="1F4FFB5B" w14:textId="77777777" w:rsidTr="00C309C6">
        <w:trPr>
          <w:trHeight w:val="137"/>
          <w:jc w:val="center"/>
        </w:trPr>
        <w:tc>
          <w:tcPr>
            <w:tcW w:w="2057" w:type="pct"/>
            <w:shd w:val="clear" w:color="auto" w:fill="E7E6E6" w:themeFill="background2"/>
            <w:vAlign w:val="center"/>
          </w:tcPr>
          <w:p w14:paraId="0CCC4B61"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Asfaltare drum comunal si drumuri sătești, comuna Mihail Kogălniceanu, județul Tulcea,</w:t>
            </w:r>
          </w:p>
        </w:tc>
        <w:tc>
          <w:tcPr>
            <w:tcW w:w="1246" w:type="pct"/>
            <w:shd w:val="clear" w:color="auto" w:fill="E7E6E6" w:themeFill="background2"/>
            <w:vAlign w:val="center"/>
          </w:tcPr>
          <w:p w14:paraId="14748096"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5475C4BF"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509AD73"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1.243.017,34</w:t>
            </w:r>
          </w:p>
        </w:tc>
      </w:tr>
      <w:tr w:rsidR="00AF66BB" w:rsidRPr="007D3D4F" w14:paraId="6EE4535F" w14:textId="77777777" w:rsidTr="00C309C6">
        <w:trPr>
          <w:trHeight w:val="137"/>
          <w:jc w:val="center"/>
        </w:trPr>
        <w:tc>
          <w:tcPr>
            <w:tcW w:w="2057" w:type="pct"/>
            <w:shd w:val="clear" w:color="auto" w:fill="E7E6E6" w:themeFill="background2"/>
            <w:vAlign w:val="center"/>
          </w:tcPr>
          <w:p w14:paraId="5A6A9F15"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drum comunal în localitatea Rândunica, comuna Mihail Kogălniceanu, DC 10</w:t>
            </w:r>
          </w:p>
        </w:tc>
        <w:tc>
          <w:tcPr>
            <w:tcW w:w="1246" w:type="pct"/>
            <w:shd w:val="clear" w:color="auto" w:fill="E7E6E6" w:themeFill="background2"/>
            <w:vAlign w:val="center"/>
          </w:tcPr>
          <w:p w14:paraId="4765DE57"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A0F9728"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326B46C"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4.607.094</w:t>
            </w:r>
          </w:p>
        </w:tc>
      </w:tr>
      <w:tr w:rsidR="00AF66BB" w:rsidRPr="007D3D4F" w14:paraId="3F218EE3" w14:textId="77777777" w:rsidTr="00C309C6">
        <w:trPr>
          <w:trHeight w:val="137"/>
          <w:jc w:val="center"/>
        </w:trPr>
        <w:tc>
          <w:tcPr>
            <w:tcW w:w="2057" w:type="pct"/>
            <w:shd w:val="clear" w:color="auto" w:fill="E7E6E6" w:themeFill="background2"/>
            <w:vAlign w:val="center"/>
          </w:tcPr>
          <w:p w14:paraId="485F4FEF"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străzi Lăstuni, comuna Mihail Kogălniceanu</w:t>
            </w:r>
          </w:p>
        </w:tc>
        <w:tc>
          <w:tcPr>
            <w:tcW w:w="1246" w:type="pct"/>
            <w:shd w:val="clear" w:color="auto" w:fill="E7E6E6" w:themeFill="background2"/>
            <w:vAlign w:val="center"/>
          </w:tcPr>
          <w:p w14:paraId="0B8A575F"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55469F4B"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159DA8A"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3.883.984</w:t>
            </w:r>
          </w:p>
        </w:tc>
      </w:tr>
      <w:tr w:rsidR="00AF66BB" w:rsidRPr="007D3D4F" w14:paraId="16B5B553" w14:textId="77777777" w:rsidTr="00C309C6">
        <w:trPr>
          <w:trHeight w:val="137"/>
          <w:jc w:val="center"/>
        </w:trPr>
        <w:tc>
          <w:tcPr>
            <w:tcW w:w="2057" w:type="pct"/>
            <w:shd w:val="clear" w:color="auto" w:fill="E7E6E6" w:themeFill="background2"/>
            <w:vAlign w:val="center"/>
          </w:tcPr>
          <w:p w14:paraId="0573817F"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trotuare în localitatea Mihail Kogălniceanu, jud Tulcea</w:t>
            </w:r>
          </w:p>
        </w:tc>
        <w:tc>
          <w:tcPr>
            <w:tcW w:w="1246" w:type="pct"/>
            <w:shd w:val="clear" w:color="auto" w:fill="E7E6E6" w:themeFill="background2"/>
            <w:vAlign w:val="center"/>
          </w:tcPr>
          <w:p w14:paraId="3B3B8F3F"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76F340DF"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D0C94CF"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1.704.649</w:t>
            </w:r>
          </w:p>
        </w:tc>
      </w:tr>
      <w:tr w:rsidR="00AF66BB" w:rsidRPr="007D3D4F" w14:paraId="2A23D9CE" w14:textId="77777777" w:rsidTr="00C309C6">
        <w:trPr>
          <w:trHeight w:val="137"/>
          <w:jc w:val="center"/>
        </w:trPr>
        <w:tc>
          <w:tcPr>
            <w:tcW w:w="2057" w:type="pct"/>
            <w:shd w:val="clear" w:color="auto" w:fill="E7E6E6" w:themeFill="background2"/>
            <w:vAlign w:val="center"/>
          </w:tcPr>
          <w:p w14:paraId="53F9E8D3"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strada și execuție două poduri în localitatea Lăstuni, comuna Mihail Kogălniceanu, județul Tulcea</w:t>
            </w:r>
          </w:p>
        </w:tc>
        <w:tc>
          <w:tcPr>
            <w:tcW w:w="1246" w:type="pct"/>
            <w:shd w:val="clear" w:color="auto" w:fill="E7E6E6" w:themeFill="background2"/>
            <w:vAlign w:val="center"/>
          </w:tcPr>
          <w:p w14:paraId="3565BEEB"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1B5A162A"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A110619"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1.647.081</w:t>
            </w:r>
          </w:p>
        </w:tc>
      </w:tr>
      <w:tr w:rsidR="00AF66BB" w:rsidRPr="007D3D4F" w14:paraId="0BA249EA" w14:textId="77777777" w:rsidTr="00C309C6">
        <w:trPr>
          <w:trHeight w:val="137"/>
          <w:jc w:val="center"/>
        </w:trPr>
        <w:tc>
          <w:tcPr>
            <w:tcW w:w="2057" w:type="pct"/>
            <w:shd w:val="clear" w:color="auto" w:fill="E7E6E6" w:themeFill="background2"/>
            <w:vAlign w:val="center"/>
          </w:tcPr>
          <w:p w14:paraId="3C677CD1"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lastRenderedPageBreak/>
              <w:t>Construire podețe și refacere drumuri sătești în localitatea Rândunica, comuna Mihail Kogălniceanu, județul Tulcea</w:t>
            </w:r>
          </w:p>
        </w:tc>
        <w:tc>
          <w:tcPr>
            <w:tcW w:w="1246" w:type="pct"/>
            <w:shd w:val="clear" w:color="auto" w:fill="E7E6E6" w:themeFill="background2"/>
            <w:vAlign w:val="center"/>
          </w:tcPr>
          <w:p w14:paraId="692C349E"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5FEB714E"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666AA5B"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954.920</w:t>
            </w:r>
          </w:p>
        </w:tc>
      </w:tr>
      <w:tr w:rsidR="00AF66BB" w:rsidRPr="007D3D4F" w14:paraId="01D0630E" w14:textId="77777777" w:rsidTr="00C309C6">
        <w:trPr>
          <w:trHeight w:val="137"/>
          <w:jc w:val="center"/>
        </w:trPr>
        <w:tc>
          <w:tcPr>
            <w:tcW w:w="2057" w:type="pct"/>
            <w:shd w:val="clear" w:color="auto" w:fill="E7E6E6" w:themeFill="background2"/>
            <w:vAlign w:val="center"/>
          </w:tcPr>
          <w:p w14:paraId="6BFA5C37"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drum comunal în localitatea Rândunica, comuna Mihail Kogălniceanu, DC 10</w:t>
            </w:r>
          </w:p>
        </w:tc>
        <w:tc>
          <w:tcPr>
            <w:tcW w:w="1246" w:type="pct"/>
            <w:shd w:val="clear" w:color="auto" w:fill="E7E6E6" w:themeFill="background2"/>
            <w:vAlign w:val="center"/>
          </w:tcPr>
          <w:p w14:paraId="7EB08B62"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55E033E6" w14:textId="77777777" w:rsidR="00AF66BB" w:rsidRPr="007D3D4F" w:rsidRDefault="00AF66BB" w:rsidP="004C072F">
            <w:pPr>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533DDCB" w14:textId="77777777" w:rsidR="00AF66BB" w:rsidRPr="007D3D4F" w:rsidRDefault="00AF66BB" w:rsidP="004C072F">
            <w:pPr>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4.607.094</w:t>
            </w:r>
          </w:p>
        </w:tc>
      </w:tr>
      <w:tr w:rsidR="00AF66BB" w:rsidRPr="007D3D4F" w14:paraId="601545B9" w14:textId="77777777" w:rsidTr="00C309C6">
        <w:trPr>
          <w:trHeight w:val="133"/>
          <w:jc w:val="center"/>
        </w:trPr>
        <w:tc>
          <w:tcPr>
            <w:tcW w:w="4082" w:type="pct"/>
            <w:gridSpan w:val="3"/>
            <w:shd w:val="clear" w:color="auto" w:fill="767171" w:themeFill="background2" w:themeFillShade="80"/>
            <w:vAlign w:val="center"/>
          </w:tcPr>
          <w:p w14:paraId="3274CD4E" w14:textId="77777777" w:rsidR="00AF66BB" w:rsidRPr="00C309C6" w:rsidRDefault="00AF66BB" w:rsidP="004C072F">
            <w:pPr>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45F4EC2D" w14:textId="77777777" w:rsidR="00AF66BB" w:rsidRPr="00C309C6" w:rsidRDefault="00AF66BB" w:rsidP="004C072F">
            <w:pPr>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17.463.635</w:t>
            </w:r>
          </w:p>
        </w:tc>
      </w:tr>
    </w:tbl>
    <w:p w14:paraId="2B20C012"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227541AA"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Comuna Murighiol a beneficiat de o investiție punctuală în infrastructura rutieră prin Programul Național de Dezvoltare Locală II, vizând realizarea unui podeț de traversare a canalului în localitatea Dunavățu de Jos, în valoare de aproximativ 3,7 milioane lei. Acest proiect a avut o importanță strategică pentru asigurarea accesului localnicilor și turiștilor în zone izolate, contribuind totodată la creșterea siguranței și mobilității în cadrul rețelei locale de transport.</w:t>
      </w:r>
    </w:p>
    <w:p w14:paraId="0764E968" w14:textId="0BFAE496"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40</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Murighiol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1123F7A2" w14:textId="77777777" w:rsidTr="00C309C6">
        <w:trPr>
          <w:jc w:val="center"/>
        </w:trPr>
        <w:tc>
          <w:tcPr>
            <w:tcW w:w="2057" w:type="pct"/>
            <w:shd w:val="clear" w:color="auto" w:fill="3B3838" w:themeFill="background2" w:themeFillShade="40"/>
            <w:vAlign w:val="center"/>
          </w:tcPr>
          <w:p w14:paraId="455AFBA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4E75B48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149A632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01D9873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0860240" w14:textId="77777777" w:rsidTr="00C309C6">
        <w:trPr>
          <w:trHeight w:val="137"/>
          <w:jc w:val="center"/>
        </w:trPr>
        <w:tc>
          <w:tcPr>
            <w:tcW w:w="2057" w:type="pct"/>
            <w:shd w:val="clear" w:color="auto" w:fill="E7E6E6" w:themeFill="background2"/>
            <w:vAlign w:val="center"/>
          </w:tcPr>
          <w:p w14:paraId="2BDFC85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Realizare podeț traversare canal in localitatea Dunavatu de Jos</w:t>
            </w:r>
          </w:p>
        </w:tc>
        <w:tc>
          <w:tcPr>
            <w:tcW w:w="1246" w:type="pct"/>
            <w:shd w:val="clear" w:color="auto" w:fill="E7E6E6" w:themeFill="background2"/>
            <w:vAlign w:val="center"/>
          </w:tcPr>
          <w:p w14:paraId="43165F5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4C54785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F99F62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3.709.234</w:t>
            </w:r>
          </w:p>
        </w:tc>
      </w:tr>
    </w:tbl>
    <w:p w14:paraId="20112C4A"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DDCE0F5" w14:textId="77777777" w:rsidR="00AF66BB" w:rsidRPr="00F43CED" w:rsidRDefault="00AF66BB" w:rsidP="004C072F">
      <w:pPr>
        <w:pStyle w:val="Smn"/>
        <w:contextualSpacing/>
        <w:rPr>
          <w:rFonts w:ascii="Times New Roman" w:hAnsi="Times New Roman" w:cs="Times New Roman"/>
          <w:spacing w:val="-6"/>
          <w:sz w:val="22"/>
          <w:szCs w:val="22"/>
        </w:rPr>
      </w:pPr>
      <w:r w:rsidRPr="00F43CED">
        <w:rPr>
          <w:rFonts w:ascii="Times New Roman" w:hAnsi="Times New Roman" w:cs="Times New Roman"/>
          <w:spacing w:val="-6"/>
          <w:sz w:val="22"/>
          <w:szCs w:val="22"/>
        </w:rPr>
        <w:t xml:space="preserve">În comuna Nalbant, investițiile în infrastructura rutieră au fost susținute prin Programul Național de Dezvoltare Locală II, cu un proiect de îmbunătățire a rețelei de drumuri de interes local, în valoare de aproape </w:t>
      </w:r>
      <w:r w:rsidRPr="00F43CED">
        <w:rPr>
          <w:rFonts w:ascii="Times New Roman" w:hAnsi="Times New Roman" w:cs="Times New Roman"/>
          <w:b/>
          <w:bCs/>
          <w:spacing w:val="-6"/>
          <w:sz w:val="22"/>
          <w:szCs w:val="22"/>
        </w:rPr>
        <w:t>5 milioane lei</w:t>
      </w:r>
      <w:r w:rsidRPr="00F43CED">
        <w:rPr>
          <w:rFonts w:ascii="Times New Roman" w:hAnsi="Times New Roman" w:cs="Times New Roman"/>
          <w:spacing w:val="-6"/>
          <w:sz w:val="22"/>
          <w:szCs w:val="22"/>
        </w:rPr>
        <w:t>. Proiectul a vizat modernizarea și facilitarea accesului pe arterele principale ale comunei, contribuind la dezvoltarea conectivității între satele componente și la îmbunătățirea condițiilor de trai pentru locuitori.</w:t>
      </w:r>
    </w:p>
    <w:p w14:paraId="2DAEFB2F" w14:textId="0A02C408"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41</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Nalbant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331F9E10" w14:textId="77777777" w:rsidTr="00C309C6">
        <w:trPr>
          <w:jc w:val="center"/>
        </w:trPr>
        <w:tc>
          <w:tcPr>
            <w:tcW w:w="2057" w:type="pct"/>
            <w:shd w:val="clear" w:color="auto" w:fill="3B3838" w:themeFill="background2" w:themeFillShade="40"/>
            <w:vAlign w:val="center"/>
          </w:tcPr>
          <w:p w14:paraId="2CE70E4C"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371C336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4FEBEBC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28C1EFF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1EF1647" w14:textId="77777777" w:rsidTr="00C309C6">
        <w:trPr>
          <w:trHeight w:val="137"/>
          <w:jc w:val="center"/>
        </w:trPr>
        <w:tc>
          <w:tcPr>
            <w:tcW w:w="2057" w:type="pct"/>
            <w:shd w:val="clear" w:color="auto" w:fill="E7E6E6" w:themeFill="background2"/>
            <w:vAlign w:val="center"/>
          </w:tcPr>
          <w:p w14:paraId="5EFFA2A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Îmbunătățirea rețelei de drumuri de interes local comuna Nalbant, județul Tulcea</w:t>
            </w:r>
          </w:p>
        </w:tc>
        <w:tc>
          <w:tcPr>
            <w:tcW w:w="1246" w:type="pct"/>
            <w:shd w:val="clear" w:color="auto" w:fill="E7E6E6" w:themeFill="background2"/>
            <w:vAlign w:val="center"/>
          </w:tcPr>
          <w:p w14:paraId="100FCE8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49725C5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34E67C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4.976.125</w:t>
            </w:r>
          </w:p>
        </w:tc>
      </w:tr>
    </w:tbl>
    <w:p w14:paraId="3C36805A"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11E6DF61"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Nufăru, investițiile prin Programul Național de Dezvoltare Locală I au vizat îmbunătățirea rețelei de drumuri de interes local în localitatea Malcoci. Proiectul, în valoare de peste 2,1 milioane lei, a avut ca scop modernizarea infrastructurii rutiere locale pentru a facilita accesul și mobilitatea locuitorilor din zonă.</w:t>
      </w:r>
    </w:p>
    <w:p w14:paraId="6114482E" w14:textId="52733CE1"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42</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Nufăru prin Programul Național Dezvoltare Locală 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566ADDD9" w14:textId="77777777" w:rsidTr="00C309C6">
        <w:trPr>
          <w:jc w:val="center"/>
        </w:trPr>
        <w:tc>
          <w:tcPr>
            <w:tcW w:w="2057" w:type="pct"/>
            <w:shd w:val="clear" w:color="auto" w:fill="3B3838" w:themeFill="background2" w:themeFillShade="40"/>
            <w:vAlign w:val="center"/>
          </w:tcPr>
          <w:p w14:paraId="6221F28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4B626C3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19DDD91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6EDE04C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605F42F5" w14:textId="77777777" w:rsidTr="00C309C6">
        <w:trPr>
          <w:trHeight w:val="137"/>
          <w:jc w:val="center"/>
        </w:trPr>
        <w:tc>
          <w:tcPr>
            <w:tcW w:w="2057" w:type="pct"/>
            <w:shd w:val="clear" w:color="auto" w:fill="E7E6E6" w:themeFill="background2"/>
            <w:vAlign w:val="center"/>
          </w:tcPr>
          <w:p w14:paraId="5CCDC2A5"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Îmbunatăţirea reţelei de drumuri de interes local în localitatea Malcoci, comuna Nufăru, judeţul Tulcea</w:t>
            </w:r>
          </w:p>
        </w:tc>
        <w:tc>
          <w:tcPr>
            <w:tcW w:w="1246" w:type="pct"/>
            <w:shd w:val="clear" w:color="auto" w:fill="E7E6E6" w:themeFill="background2"/>
            <w:vAlign w:val="center"/>
          </w:tcPr>
          <w:p w14:paraId="5CB1149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1070179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744AAF5"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2.199.837,17</w:t>
            </w:r>
          </w:p>
        </w:tc>
      </w:tr>
    </w:tbl>
    <w:p w14:paraId="4198958F"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15AE5FA6"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lastRenderedPageBreak/>
        <w:t>Comuna Ostrov a beneficiat de investiții în infrastructura rutieră prin ambele etape ale Programului Național de Dezvoltare Locală (PNDL). În cadrul PNDL I, a fost asfaltată o rețea de drumuri comunale pietruite cu o lungime totală de 5,5 km, iar prin PNDL II, intervențiile au continuat cu asfaltarea străzilor pietruite din localitate. Valoarea totală a proiectelor depășește 5,6 milioane lei, contribuind la îmbunătățirea semnificativă a accesului rutier și a calității vieții pentru locuitorii comunei.</w:t>
      </w:r>
    </w:p>
    <w:p w14:paraId="5D982ED5" w14:textId="37CA1DB9"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43</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Ostrov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400DD121" w14:textId="77777777" w:rsidTr="00C309C6">
        <w:trPr>
          <w:jc w:val="center"/>
        </w:trPr>
        <w:tc>
          <w:tcPr>
            <w:tcW w:w="2057" w:type="pct"/>
            <w:shd w:val="clear" w:color="auto" w:fill="3B3838" w:themeFill="background2" w:themeFillShade="40"/>
            <w:vAlign w:val="center"/>
          </w:tcPr>
          <w:p w14:paraId="32497ED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4892DEC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457A7E9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07576D6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20D8B32" w14:textId="77777777" w:rsidTr="00C309C6">
        <w:trPr>
          <w:trHeight w:val="137"/>
          <w:jc w:val="center"/>
        </w:trPr>
        <w:tc>
          <w:tcPr>
            <w:tcW w:w="2057" w:type="pct"/>
            <w:shd w:val="clear" w:color="auto" w:fill="E7E6E6" w:themeFill="background2"/>
            <w:vAlign w:val="center"/>
          </w:tcPr>
          <w:p w14:paraId="6D1CB35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Asfaltare drumuri comunale pietruite în lungime totală de 5,5 km, comuna Ostrov, județul Tulcea</w:t>
            </w:r>
          </w:p>
        </w:tc>
        <w:tc>
          <w:tcPr>
            <w:tcW w:w="1246" w:type="pct"/>
            <w:shd w:val="clear" w:color="auto" w:fill="E7E6E6" w:themeFill="background2"/>
            <w:vAlign w:val="center"/>
          </w:tcPr>
          <w:p w14:paraId="0119982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4DEDFD6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E1E78D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2.813.228,19</w:t>
            </w:r>
          </w:p>
        </w:tc>
      </w:tr>
      <w:tr w:rsidR="00AF66BB" w:rsidRPr="007D3D4F" w14:paraId="1D81AEF8" w14:textId="77777777" w:rsidTr="00C309C6">
        <w:trPr>
          <w:trHeight w:val="137"/>
          <w:jc w:val="center"/>
        </w:trPr>
        <w:tc>
          <w:tcPr>
            <w:tcW w:w="2057" w:type="pct"/>
            <w:shd w:val="clear" w:color="auto" w:fill="E7E6E6" w:themeFill="background2"/>
            <w:vAlign w:val="center"/>
          </w:tcPr>
          <w:p w14:paraId="4CA1C98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Asfaltare străzi pietruite, comuna Ostrov, județul Tulcea</w:t>
            </w:r>
          </w:p>
        </w:tc>
        <w:tc>
          <w:tcPr>
            <w:tcW w:w="1246" w:type="pct"/>
            <w:shd w:val="clear" w:color="auto" w:fill="E7E6E6" w:themeFill="background2"/>
            <w:vAlign w:val="center"/>
          </w:tcPr>
          <w:p w14:paraId="75BCAA5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61DEA55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579D23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2.830.279</w:t>
            </w:r>
          </w:p>
        </w:tc>
      </w:tr>
      <w:tr w:rsidR="00AF66BB" w:rsidRPr="007D3D4F" w14:paraId="7DAB60B2" w14:textId="77777777" w:rsidTr="00C309C6">
        <w:trPr>
          <w:trHeight w:val="133"/>
          <w:jc w:val="center"/>
        </w:trPr>
        <w:tc>
          <w:tcPr>
            <w:tcW w:w="4082" w:type="pct"/>
            <w:gridSpan w:val="3"/>
            <w:shd w:val="clear" w:color="auto" w:fill="767171" w:themeFill="background2" w:themeFillShade="80"/>
            <w:vAlign w:val="center"/>
          </w:tcPr>
          <w:p w14:paraId="13221BAA"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1E8C0BBF"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5.643.507</w:t>
            </w:r>
          </w:p>
        </w:tc>
      </w:tr>
    </w:tbl>
    <w:p w14:paraId="32A9835A"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2C20E2BF"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Comuna Peceneaga a realizat investiții majore în infrastructura rutieră prin PNDL I și II, vizând modernizarea străzilor din localitate și a drumurilor comunale. În cadrul PNDL I, a fost modernizat un tronson de străzi, iar prin PNDL II au fost implementate două proiecte ample: unul pentru reabilitarea drumurilor comunale pe o lungime de aproximativ 15 km și altul pentru modernizarea drumurilor de interes local. Valoarea totală a acestor investiții se ridică la peste 26,2 milioane lei, reflectând o dezvoltare semnificativă a rețelei rutiere locale și un progres important în mobilitatea și conectivitatea comunității.</w:t>
      </w:r>
    </w:p>
    <w:p w14:paraId="04A78511" w14:textId="1C04ECAF"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44</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Peceneaga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148A7489" w14:textId="77777777" w:rsidTr="00C309C6">
        <w:trPr>
          <w:jc w:val="center"/>
        </w:trPr>
        <w:tc>
          <w:tcPr>
            <w:tcW w:w="2057" w:type="pct"/>
            <w:shd w:val="clear" w:color="auto" w:fill="3B3838" w:themeFill="background2" w:themeFillShade="40"/>
            <w:vAlign w:val="center"/>
          </w:tcPr>
          <w:p w14:paraId="29A8A23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4562CA1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79EF356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68E0D64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56728B5A" w14:textId="77777777" w:rsidTr="00C309C6">
        <w:trPr>
          <w:trHeight w:val="137"/>
          <w:jc w:val="center"/>
        </w:trPr>
        <w:tc>
          <w:tcPr>
            <w:tcW w:w="2057" w:type="pct"/>
            <w:shd w:val="clear" w:color="auto" w:fill="E7E6E6" w:themeFill="background2"/>
            <w:vAlign w:val="center"/>
          </w:tcPr>
          <w:p w14:paraId="1EA56B7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in localitatea Peceneaga, judeţul Tulcea</w:t>
            </w:r>
          </w:p>
        </w:tc>
        <w:tc>
          <w:tcPr>
            <w:tcW w:w="1246" w:type="pct"/>
            <w:shd w:val="clear" w:color="auto" w:fill="E7E6E6" w:themeFill="background2"/>
            <w:vAlign w:val="center"/>
          </w:tcPr>
          <w:p w14:paraId="4B18507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7ED4448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05560E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349.246,84</w:t>
            </w:r>
          </w:p>
        </w:tc>
      </w:tr>
      <w:tr w:rsidR="00AF66BB" w:rsidRPr="007D3D4F" w14:paraId="00B9B2D7" w14:textId="77777777" w:rsidTr="00C309C6">
        <w:trPr>
          <w:trHeight w:val="137"/>
          <w:jc w:val="center"/>
        </w:trPr>
        <w:tc>
          <w:tcPr>
            <w:tcW w:w="2057" w:type="pct"/>
            <w:shd w:val="clear" w:color="auto" w:fill="E7E6E6" w:themeFill="background2"/>
            <w:vAlign w:val="center"/>
          </w:tcPr>
          <w:p w14:paraId="0358DFF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drumuri comunale pentru aproximativ 15 km comuna Peceneaga, jud Tulcea</w:t>
            </w:r>
          </w:p>
        </w:tc>
        <w:tc>
          <w:tcPr>
            <w:tcW w:w="1246" w:type="pct"/>
            <w:shd w:val="clear" w:color="auto" w:fill="E7E6E6" w:themeFill="background2"/>
            <w:vAlign w:val="center"/>
          </w:tcPr>
          <w:p w14:paraId="0394487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6AACD93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416FB7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19.788.229</w:t>
            </w:r>
          </w:p>
        </w:tc>
      </w:tr>
      <w:tr w:rsidR="00AF66BB" w:rsidRPr="007D3D4F" w14:paraId="329EA9D1" w14:textId="77777777" w:rsidTr="00C309C6">
        <w:trPr>
          <w:trHeight w:val="137"/>
          <w:jc w:val="center"/>
        </w:trPr>
        <w:tc>
          <w:tcPr>
            <w:tcW w:w="2057" w:type="pct"/>
            <w:shd w:val="clear" w:color="auto" w:fill="E7E6E6" w:themeFill="background2"/>
            <w:vAlign w:val="center"/>
          </w:tcPr>
          <w:p w14:paraId="6F0E94D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drumuri de interes local Peceneaga, jud Tulcea</w:t>
            </w:r>
          </w:p>
        </w:tc>
        <w:tc>
          <w:tcPr>
            <w:tcW w:w="1246" w:type="pct"/>
            <w:shd w:val="clear" w:color="auto" w:fill="E7E6E6" w:themeFill="background2"/>
            <w:vAlign w:val="center"/>
          </w:tcPr>
          <w:p w14:paraId="1D70881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0121E88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CE1199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6.146.126</w:t>
            </w:r>
          </w:p>
        </w:tc>
      </w:tr>
      <w:tr w:rsidR="00AF66BB" w:rsidRPr="007D3D4F" w14:paraId="5BEB6A34" w14:textId="77777777" w:rsidTr="00C309C6">
        <w:trPr>
          <w:trHeight w:val="133"/>
          <w:jc w:val="center"/>
        </w:trPr>
        <w:tc>
          <w:tcPr>
            <w:tcW w:w="4082" w:type="pct"/>
            <w:gridSpan w:val="3"/>
            <w:shd w:val="clear" w:color="auto" w:fill="767171" w:themeFill="background2" w:themeFillShade="80"/>
            <w:vAlign w:val="center"/>
          </w:tcPr>
          <w:p w14:paraId="0BE5899D"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7FDCFD39"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26.283.601,31</w:t>
            </w:r>
          </w:p>
        </w:tc>
      </w:tr>
    </w:tbl>
    <w:p w14:paraId="71564419"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157F72EA" w14:textId="77777777" w:rsidR="00AF66BB"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Comuna Sarichioi a beneficiat de investiții importante în infrastructura rutieră prin programele PNDL I și II, având în vedere atât reabilitarea drumurilor de acces, cât și modernizarea drumurilor stradale din interiorul localității. Prin PNDL I au fost reabilitate drumurile comunale de acces către localitatea Visterna, în două etape, totalizând o valoare semnificativă. Ulterior, prin PNDL II, a fost finanțată modernizarea drumurilor stradale din comuna Sarichioi. Valoarea cumulată a acestor proiecte depășește 24 milioane lei, contribuind esențial la îmbunătățirea mobilității, accesibilității și calității vieții locuitorilor din comună.</w:t>
      </w:r>
    </w:p>
    <w:p w14:paraId="2E08184A" w14:textId="77777777" w:rsidR="00F43CED" w:rsidRDefault="00F43CED" w:rsidP="004C072F">
      <w:pPr>
        <w:pStyle w:val="Smn"/>
        <w:contextualSpacing/>
        <w:rPr>
          <w:rFonts w:ascii="Times New Roman" w:hAnsi="Times New Roman" w:cs="Times New Roman"/>
          <w:sz w:val="22"/>
          <w:szCs w:val="22"/>
        </w:rPr>
      </w:pPr>
    </w:p>
    <w:p w14:paraId="03ECF125" w14:textId="77777777" w:rsidR="00F43CED" w:rsidRDefault="00F43CED" w:rsidP="004C072F">
      <w:pPr>
        <w:pStyle w:val="Smn"/>
        <w:contextualSpacing/>
        <w:rPr>
          <w:rFonts w:ascii="Times New Roman" w:hAnsi="Times New Roman" w:cs="Times New Roman"/>
          <w:sz w:val="22"/>
          <w:szCs w:val="22"/>
        </w:rPr>
      </w:pPr>
    </w:p>
    <w:p w14:paraId="78B2BFC3" w14:textId="77777777" w:rsidR="00F43CED" w:rsidRPr="007D3D4F" w:rsidRDefault="00F43CED" w:rsidP="004C072F">
      <w:pPr>
        <w:pStyle w:val="Smn"/>
        <w:contextualSpacing/>
        <w:rPr>
          <w:rFonts w:ascii="Times New Roman" w:hAnsi="Times New Roman" w:cs="Times New Roman"/>
          <w:sz w:val="22"/>
          <w:szCs w:val="22"/>
        </w:rPr>
      </w:pPr>
    </w:p>
    <w:p w14:paraId="556829FD" w14:textId="1EDB07C6"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45</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Sarichioi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0D425F6B" w14:textId="77777777" w:rsidTr="00C309C6">
        <w:trPr>
          <w:jc w:val="center"/>
        </w:trPr>
        <w:tc>
          <w:tcPr>
            <w:tcW w:w="2057" w:type="pct"/>
            <w:shd w:val="clear" w:color="auto" w:fill="3B3838" w:themeFill="background2" w:themeFillShade="40"/>
            <w:vAlign w:val="center"/>
          </w:tcPr>
          <w:p w14:paraId="181FA47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10F5C6CC"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3FD837D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64E3ABC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56153354" w14:textId="77777777" w:rsidTr="00C309C6">
        <w:trPr>
          <w:trHeight w:val="137"/>
          <w:jc w:val="center"/>
        </w:trPr>
        <w:tc>
          <w:tcPr>
            <w:tcW w:w="2057" w:type="pct"/>
            <w:shd w:val="clear" w:color="auto" w:fill="E7E6E6" w:themeFill="background2"/>
            <w:vAlign w:val="center"/>
          </w:tcPr>
          <w:p w14:paraId="4653491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Reabilitare drum comunal de acces în localitatea Visterna, comuna Sarichioi, județul Tulcea</w:t>
            </w:r>
          </w:p>
        </w:tc>
        <w:tc>
          <w:tcPr>
            <w:tcW w:w="1246" w:type="pct"/>
            <w:shd w:val="clear" w:color="auto" w:fill="E7E6E6" w:themeFill="background2"/>
            <w:vAlign w:val="center"/>
          </w:tcPr>
          <w:p w14:paraId="0427BA3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031EC48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E66BAB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3.693.760</w:t>
            </w:r>
          </w:p>
        </w:tc>
      </w:tr>
      <w:tr w:rsidR="00AF66BB" w:rsidRPr="007D3D4F" w14:paraId="27743738" w14:textId="77777777" w:rsidTr="00C309C6">
        <w:trPr>
          <w:trHeight w:val="137"/>
          <w:jc w:val="center"/>
        </w:trPr>
        <w:tc>
          <w:tcPr>
            <w:tcW w:w="2057" w:type="pct"/>
            <w:shd w:val="clear" w:color="auto" w:fill="E7E6E6" w:themeFill="background2"/>
            <w:vAlign w:val="center"/>
          </w:tcPr>
          <w:p w14:paraId="065F073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Reabilitare drum comunal de acces în localitatea Visterna, comuna Sarichioi, județul Tulcea</w:t>
            </w:r>
          </w:p>
        </w:tc>
        <w:tc>
          <w:tcPr>
            <w:tcW w:w="1246" w:type="pct"/>
            <w:shd w:val="clear" w:color="auto" w:fill="E7E6E6" w:themeFill="background2"/>
            <w:vAlign w:val="center"/>
          </w:tcPr>
          <w:p w14:paraId="06A5945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1937A32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67A935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1.433.518,85</w:t>
            </w:r>
          </w:p>
        </w:tc>
      </w:tr>
      <w:tr w:rsidR="00AF66BB" w:rsidRPr="007D3D4F" w14:paraId="478978E5" w14:textId="77777777" w:rsidTr="00C309C6">
        <w:trPr>
          <w:trHeight w:val="137"/>
          <w:jc w:val="center"/>
        </w:trPr>
        <w:tc>
          <w:tcPr>
            <w:tcW w:w="2057" w:type="pct"/>
            <w:shd w:val="clear" w:color="auto" w:fill="E7E6E6" w:themeFill="background2"/>
            <w:vAlign w:val="center"/>
          </w:tcPr>
          <w:p w14:paraId="3077306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stradale în comuna Sarichioi, județ Tulcea</w:t>
            </w:r>
          </w:p>
        </w:tc>
        <w:tc>
          <w:tcPr>
            <w:tcW w:w="1246" w:type="pct"/>
            <w:shd w:val="clear" w:color="auto" w:fill="E7E6E6" w:themeFill="background2"/>
            <w:vAlign w:val="center"/>
          </w:tcPr>
          <w:p w14:paraId="678940E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178AC09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10A69C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19.032.772</w:t>
            </w:r>
          </w:p>
        </w:tc>
      </w:tr>
      <w:tr w:rsidR="00AF66BB" w:rsidRPr="007D3D4F" w14:paraId="6EB35741" w14:textId="77777777" w:rsidTr="00C309C6">
        <w:trPr>
          <w:trHeight w:val="133"/>
          <w:jc w:val="center"/>
        </w:trPr>
        <w:tc>
          <w:tcPr>
            <w:tcW w:w="4082" w:type="pct"/>
            <w:gridSpan w:val="3"/>
            <w:shd w:val="clear" w:color="auto" w:fill="767171" w:themeFill="background2" w:themeFillShade="80"/>
            <w:vAlign w:val="center"/>
          </w:tcPr>
          <w:p w14:paraId="7FEFD576"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2EDCFBC4"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24.160.050,66</w:t>
            </w:r>
          </w:p>
        </w:tc>
      </w:tr>
    </w:tbl>
    <w:p w14:paraId="71275CA2"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0E19B528"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 xml:space="preserve">În comuna Slava Cercheză a fost implementat un proiect important de modernizare a drumurilor de interes local, finanțat prin Programul Național de Dezvoltare Locală (PNDL II). Intervenția, cu o valoare de peste 5,6 milioane lei, a vizat îmbunătățirea infrastructurii rutiere și creșterea accesibilității pentru locuitori. </w:t>
      </w:r>
    </w:p>
    <w:p w14:paraId="0B476E37" w14:textId="66A17B5F"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46</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Slava Cercheza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5AC22BEB" w14:textId="77777777" w:rsidTr="00C309C6">
        <w:trPr>
          <w:jc w:val="center"/>
        </w:trPr>
        <w:tc>
          <w:tcPr>
            <w:tcW w:w="2057" w:type="pct"/>
            <w:shd w:val="clear" w:color="auto" w:fill="3B3838" w:themeFill="background2" w:themeFillShade="40"/>
            <w:vAlign w:val="center"/>
          </w:tcPr>
          <w:p w14:paraId="4E5BEDA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37B9DA7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6FFDFDA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7DF929B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087D368B" w14:textId="77777777" w:rsidTr="00C309C6">
        <w:trPr>
          <w:trHeight w:val="137"/>
          <w:jc w:val="center"/>
        </w:trPr>
        <w:tc>
          <w:tcPr>
            <w:tcW w:w="2057" w:type="pct"/>
            <w:shd w:val="clear" w:color="auto" w:fill="E7E6E6" w:themeFill="background2"/>
            <w:vAlign w:val="center"/>
          </w:tcPr>
          <w:p w14:paraId="661BB98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de interes local în comuna Slava Cercheza, jud Tulcea</w:t>
            </w:r>
          </w:p>
        </w:tc>
        <w:tc>
          <w:tcPr>
            <w:tcW w:w="1246" w:type="pct"/>
            <w:shd w:val="clear" w:color="auto" w:fill="E7E6E6" w:themeFill="background2"/>
            <w:vAlign w:val="center"/>
          </w:tcPr>
          <w:p w14:paraId="50A8494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630F0FB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3DAB5C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5.615.579</w:t>
            </w:r>
          </w:p>
        </w:tc>
      </w:tr>
    </w:tbl>
    <w:p w14:paraId="46A22765"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55CE30AC"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b/>
          <w:bCs/>
          <w:sz w:val="22"/>
          <w:szCs w:val="22"/>
        </w:rPr>
        <w:t>Comuna Smîrdan a beneficiat de o investiție în modernizarea străzilor</w:t>
      </w:r>
      <w:r w:rsidRPr="007D3D4F">
        <w:rPr>
          <w:rFonts w:ascii="Times New Roman" w:hAnsi="Times New Roman" w:cs="Times New Roman"/>
          <w:sz w:val="22"/>
          <w:szCs w:val="22"/>
        </w:rPr>
        <w:t xml:space="preserve">, realizată prin Programul Național de Dezvoltare Locală – etapa a doua (PNDL II). Proiectul, în valoare totală de peste </w:t>
      </w:r>
      <w:r w:rsidRPr="007D3D4F">
        <w:rPr>
          <w:rFonts w:ascii="Times New Roman" w:hAnsi="Times New Roman" w:cs="Times New Roman"/>
          <w:b/>
          <w:bCs/>
          <w:sz w:val="22"/>
          <w:szCs w:val="22"/>
        </w:rPr>
        <w:t>4 milioane lei</w:t>
      </w:r>
      <w:r w:rsidRPr="007D3D4F">
        <w:rPr>
          <w:rFonts w:ascii="Times New Roman" w:hAnsi="Times New Roman" w:cs="Times New Roman"/>
          <w:sz w:val="22"/>
          <w:szCs w:val="22"/>
        </w:rPr>
        <w:t>, a avut ca scop îmbunătățirea infrastructurii rutiere din localitate, facilitând accesul populației la servicii publice esențiale și contribuind la creșterea calității vieții pentru locuitori.</w:t>
      </w:r>
    </w:p>
    <w:p w14:paraId="622E0E4C" w14:textId="0039508E"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47</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Smîrdan prin Programul Național Dezvoltare Locală 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1E9EF75F" w14:textId="77777777" w:rsidTr="00C309C6">
        <w:trPr>
          <w:jc w:val="center"/>
        </w:trPr>
        <w:tc>
          <w:tcPr>
            <w:tcW w:w="2057" w:type="pct"/>
            <w:shd w:val="clear" w:color="auto" w:fill="3B3838" w:themeFill="background2" w:themeFillShade="40"/>
            <w:vAlign w:val="center"/>
          </w:tcPr>
          <w:p w14:paraId="1BE7755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198C79F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3D30EFB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196A508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EE462B7" w14:textId="77777777" w:rsidTr="00C309C6">
        <w:trPr>
          <w:trHeight w:val="137"/>
          <w:jc w:val="center"/>
        </w:trPr>
        <w:tc>
          <w:tcPr>
            <w:tcW w:w="2057" w:type="pct"/>
            <w:shd w:val="clear" w:color="auto" w:fill="E7E6E6" w:themeFill="background2"/>
            <w:vAlign w:val="center"/>
          </w:tcPr>
          <w:p w14:paraId="5384CC2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în comuna Smîrdan, județul Tulcea</w:t>
            </w:r>
          </w:p>
        </w:tc>
        <w:tc>
          <w:tcPr>
            <w:tcW w:w="1246" w:type="pct"/>
            <w:shd w:val="clear" w:color="auto" w:fill="E7E6E6" w:themeFill="background2"/>
            <w:vAlign w:val="center"/>
          </w:tcPr>
          <w:p w14:paraId="2899E44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32D7D41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1CF0045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4.012.857,51</w:t>
            </w:r>
          </w:p>
        </w:tc>
      </w:tr>
    </w:tbl>
    <w:p w14:paraId="5AABD4C7"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0D0ECF61" w14:textId="77777777" w:rsidR="00AF66BB"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b/>
          <w:bCs/>
          <w:sz w:val="22"/>
          <w:szCs w:val="22"/>
        </w:rPr>
        <w:t>În comuna Somova, prin Programul Național de Dezvoltare Locală – etapa I (PNDL I)</w:t>
      </w:r>
      <w:r w:rsidRPr="007D3D4F">
        <w:rPr>
          <w:rFonts w:ascii="Times New Roman" w:hAnsi="Times New Roman" w:cs="Times New Roman"/>
          <w:sz w:val="22"/>
          <w:szCs w:val="22"/>
        </w:rPr>
        <w:t xml:space="preserve">, a fost implementat un proiect de </w:t>
      </w:r>
      <w:r w:rsidRPr="007D3D4F">
        <w:rPr>
          <w:rFonts w:ascii="Times New Roman" w:hAnsi="Times New Roman" w:cs="Times New Roman"/>
          <w:b/>
          <w:bCs/>
          <w:sz w:val="22"/>
          <w:szCs w:val="22"/>
        </w:rPr>
        <w:t>modernizare a străzilor din localitatea Mineri</w:t>
      </w:r>
      <w:r w:rsidRPr="007D3D4F">
        <w:rPr>
          <w:rFonts w:ascii="Times New Roman" w:hAnsi="Times New Roman" w:cs="Times New Roman"/>
          <w:sz w:val="22"/>
          <w:szCs w:val="22"/>
        </w:rPr>
        <w:t xml:space="preserve">, cu o valoare totală de peste </w:t>
      </w:r>
      <w:r w:rsidRPr="007D3D4F">
        <w:rPr>
          <w:rFonts w:ascii="Times New Roman" w:hAnsi="Times New Roman" w:cs="Times New Roman"/>
          <w:b/>
          <w:bCs/>
          <w:sz w:val="22"/>
          <w:szCs w:val="22"/>
        </w:rPr>
        <w:t>2 milioane lei</w:t>
      </w:r>
      <w:r w:rsidRPr="007D3D4F">
        <w:rPr>
          <w:rFonts w:ascii="Times New Roman" w:hAnsi="Times New Roman" w:cs="Times New Roman"/>
          <w:sz w:val="22"/>
          <w:szCs w:val="22"/>
        </w:rPr>
        <w:t>. Intervenția a avut drept scop creșterea calității infrastructurii rutiere și îmbunătățirea condițiilor de mobilitate pentru locuitori, contribuind totodată la dezvoltarea echilibrată a zonei.</w:t>
      </w:r>
    </w:p>
    <w:p w14:paraId="7ADCDC3D" w14:textId="77777777" w:rsidR="00F43CED" w:rsidRDefault="00F43CED" w:rsidP="004C072F">
      <w:pPr>
        <w:pStyle w:val="Smn"/>
        <w:contextualSpacing/>
        <w:rPr>
          <w:rFonts w:ascii="Times New Roman" w:hAnsi="Times New Roman" w:cs="Times New Roman"/>
          <w:sz w:val="22"/>
          <w:szCs w:val="22"/>
        </w:rPr>
      </w:pPr>
    </w:p>
    <w:p w14:paraId="64FC5569" w14:textId="77777777" w:rsidR="00F43CED" w:rsidRDefault="00F43CED" w:rsidP="004C072F">
      <w:pPr>
        <w:pStyle w:val="Smn"/>
        <w:contextualSpacing/>
        <w:rPr>
          <w:rFonts w:ascii="Times New Roman" w:hAnsi="Times New Roman" w:cs="Times New Roman"/>
          <w:sz w:val="22"/>
          <w:szCs w:val="22"/>
        </w:rPr>
      </w:pPr>
    </w:p>
    <w:p w14:paraId="34D4393A" w14:textId="77777777" w:rsidR="00F43CED" w:rsidRDefault="00F43CED" w:rsidP="004C072F">
      <w:pPr>
        <w:pStyle w:val="Smn"/>
        <w:contextualSpacing/>
        <w:rPr>
          <w:rFonts w:ascii="Times New Roman" w:hAnsi="Times New Roman" w:cs="Times New Roman"/>
          <w:sz w:val="22"/>
          <w:szCs w:val="22"/>
        </w:rPr>
      </w:pPr>
    </w:p>
    <w:p w14:paraId="50BC6747" w14:textId="77777777" w:rsidR="00F43CED" w:rsidRPr="007D3D4F" w:rsidRDefault="00F43CED" w:rsidP="004C072F">
      <w:pPr>
        <w:pStyle w:val="Smn"/>
        <w:contextualSpacing/>
        <w:rPr>
          <w:rFonts w:ascii="Times New Roman" w:hAnsi="Times New Roman" w:cs="Times New Roman"/>
          <w:sz w:val="22"/>
          <w:szCs w:val="22"/>
        </w:rPr>
      </w:pPr>
    </w:p>
    <w:p w14:paraId="0C368419" w14:textId="3D1FE7E4"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48</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Somova prin Programul Național Dezvoltare Locală 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77D4DBF9" w14:textId="77777777" w:rsidTr="00C309C6">
        <w:trPr>
          <w:jc w:val="center"/>
        </w:trPr>
        <w:tc>
          <w:tcPr>
            <w:tcW w:w="2057" w:type="pct"/>
            <w:shd w:val="clear" w:color="auto" w:fill="3B3838" w:themeFill="background2" w:themeFillShade="40"/>
            <w:vAlign w:val="center"/>
          </w:tcPr>
          <w:p w14:paraId="22766DF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3465E0D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436E995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04FCF87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5A84B3D8" w14:textId="77777777" w:rsidTr="00C309C6">
        <w:trPr>
          <w:trHeight w:val="137"/>
          <w:jc w:val="center"/>
        </w:trPr>
        <w:tc>
          <w:tcPr>
            <w:tcW w:w="2057" w:type="pct"/>
            <w:shd w:val="clear" w:color="auto" w:fill="E7E6E6" w:themeFill="background2"/>
            <w:vAlign w:val="center"/>
          </w:tcPr>
          <w:p w14:paraId="3C07CB2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în localitatea Mineri, comuna Somova, județul Tulcea</w:t>
            </w:r>
          </w:p>
        </w:tc>
        <w:tc>
          <w:tcPr>
            <w:tcW w:w="1246" w:type="pct"/>
            <w:shd w:val="clear" w:color="auto" w:fill="E7E6E6" w:themeFill="background2"/>
            <w:vAlign w:val="center"/>
          </w:tcPr>
          <w:p w14:paraId="12088B9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6CDF776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53F4343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2.027.154,46</w:t>
            </w:r>
          </w:p>
        </w:tc>
      </w:tr>
    </w:tbl>
    <w:p w14:paraId="2FF43B56"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4795323A"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comuna Stejaru, județul Tulcea, prin Programul Național de Dezvoltare Locală – etapa a II-a (PNDL II), au fost implementate două proiecte în domeniul infrastructurii rutiere, cu o valoare totală de peste 3,2 milioane lei. Primul proiect a vizat asfaltarea străzilor cu bitum în satul Stejaru, îmbunătățind mobilitatea locală, iar al doilea proiect a presupus realizarea lucrărilor de betonare a șanțurilor de pământ, contribuind la modernizarea sistemului de drenaj și creșterea siguranței circulației în localitate.</w:t>
      </w:r>
    </w:p>
    <w:p w14:paraId="41B4A8B2" w14:textId="5E717F73"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49</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Stejaru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6CC3F2F6" w14:textId="77777777" w:rsidTr="00C309C6">
        <w:trPr>
          <w:jc w:val="center"/>
        </w:trPr>
        <w:tc>
          <w:tcPr>
            <w:tcW w:w="2057" w:type="pct"/>
            <w:shd w:val="clear" w:color="auto" w:fill="3B3838" w:themeFill="background2" w:themeFillShade="40"/>
            <w:vAlign w:val="center"/>
          </w:tcPr>
          <w:p w14:paraId="4AB8956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264830A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3A7EBB1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2ADC9EC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61BF5D8C" w14:textId="77777777" w:rsidTr="00C309C6">
        <w:trPr>
          <w:trHeight w:val="137"/>
          <w:jc w:val="center"/>
        </w:trPr>
        <w:tc>
          <w:tcPr>
            <w:tcW w:w="2057" w:type="pct"/>
            <w:shd w:val="clear" w:color="auto" w:fill="E7E6E6" w:themeFill="background2"/>
            <w:vAlign w:val="center"/>
          </w:tcPr>
          <w:p w14:paraId="344CA9D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Asfaltare străzi cu bitum în satul Stejaru, comuna Stejaru, județul Tulcea</w:t>
            </w:r>
          </w:p>
        </w:tc>
        <w:tc>
          <w:tcPr>
            <w:tcW w:w="1246" w:type="pct"/>
            <w:shd w:val="clear" w:color="auto" w:fill="E7E6E6" w:themeFill="background2"/>
            <w:vAlign w:val="center"/>
          </w:tcPr>
          <w:p w14:paraId="7C1BD13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523591A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C21A4E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499.524</w:t>
            </w:r>
          </w:p>
        </w:tc>
      </w:tr>
      <w:tr w:rsidR="00AF66BB" w:rsidRPr="007D3D4F" w14:paraId="292958DF" w14:textId="77777777" w:rsidTr="00C309C6">
        <w:trPr>
          <w:trHeight w:val="137"/>
          <w:jc w:val="center"/>
        </w:trPr>
        <w:tc>
          <w:tcPr>
            <w:tcW w:w="2057" w:type="pct"/>
            <w:shd w:val="clear" w:color="auto" w:fill="E7E6E6" w:themeFill="background2"/>
            <w:vAlign w:val="center"/>
          </w:tcPr>
          <w:p w14:paraId="0574AFF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Realizare lucrări de betonare a șanțurilor de pământ in satul Stejaru, comuna Stejaru, jud Tulcea</w:t>
            </w:r>
          </w:p>
        </w:tc>
        <w:tc>
          <w:tcPr>
            <w:tcW w:w="1246" w:type="pct"/>
            <w:shd w:val="clear" w:color="auto" w:fill="E7E6E6" w:themeFill="background2"/>
            <w:vAlign w:val="center"/>
          </w:tcPr>
          <w:p w14:paraId="68900E2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797B72B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0FED999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2.717.677</w:t>
            </w:r>
          </w:p>
        </w:tc>
      </w:tr>
      <w:tr w:rsidR="00AF66BB" w:rsidRPr="007D3D4F" w14:paraId="589C2B53" w14:textId="77777777" w:rsidTr="00C309C6">
        <w:trPr>
          <w:trHeight w:val="137"/>
          <w:jc w:val="center"/>
        </w:trPr>
        <w:tc>
          <w:tcPr>
            <w:tcW w:w="4082" w:type="pct"/>
            <w:gridSpan w:val="3"/>
            <w:shd w:val="clear" w:color="auto" w:fill="767171" w:themeFill="background2" w:themeFillShade="80"/>
            <w:vAlign w:val="center"/>
          </w:tcPr>
          <w:p w14:paraId="32432CE4"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561E046A"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3.217.201</w:t>
            </w:r>
          </w:p>
        </w:tc>
      </w:tr>
    </w:tbl>
    <w:p w14:paraId="7A3700AA"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2B218114"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orașul Sulina, județul Tulcea, autoritățile locale au beneficiat de finanțare prin Programul Național de Dezvoltare Locală – etapele I și II, implementând trei proiecte de infrastructură rutieră, cu o valoare totală de peste 13,3 milioane lei. Prin PNDL I au fost modernizate strada A-III-a și strada I – Tronson 2, din zona Vest, contribuind la creșterea calității rețelei de drumuri urbane. În etapa PNDL II, investițiile au vizat modernizarea străzilor din zona Prospect (mal stâng), îmbunătățind accesibilitatea și siguranța rutieră pentru locuitorii orașului.</w:t>
      </w:r>
    </w:p>
    <w:p w14:paraId="3F61B7E7" w14:textId="7BC1B9C8"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50</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Orașul Sulina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377DA5C2" w14:textId="77777777" w:rsidTr="00C309C6">
        <w:trPr>
          <w:jc w:val="center"/>
        </w:trPr>
        <w:tc>
          <w:tcPr>
            <w:tcW w:w="2057" w:type="pct"/>
            <w:shd w:val="clear" w:color="auto" w:fill="3B3838" w:themeFill="background2" w:themeFillShade="40"/>
            <w:vAlign w:val="center"/>
          </w:tcPr>
          <w:p w14:paraId="22D8F86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78BD647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14C366F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2753089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356AF50F" w14:textId="77777777" w:rsidTr="00C309C6">
        <w:trPr>
          <w:trHeight w:val="137"/>
          <w:jc w:val="center"/>
        </w:trPr>
        <w:tc>
          <w:tcPr>
            <w:tcW w:w="2057" w:type="pct"/>
            <w:shd w:val="clear" w:color="auto" w:fill="E7E6E6" w:themeFill="background2"/>
            <w:vAlign w:val="center"/>
          </w:tcPr>
          <w:p w14:paraId="6A4CC49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strada a - III - a, oraș Sulina</w:t>
            </w:r>
          </w:p>
        </w:tc>
        <w:tc>
          <w:tcPr>
            <w:tcW w:w="1246" w:type="pct"/>
            <w:shd w:val="clear" w:color="auto" w:fill="E7E6E6" w:themeFill="background2"/>
            <w:vAlign w:val="center"/>
          </w:tcPr>
          <w:p w14:paraId="1E1EA8C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193D9E8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BF87344"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4.446.763,94</w:t>
            </w:r>
          </w:p>
        </w:tc>
      </w:tr>
      <w:tr w:rsidR="00AF66BB" w:rsidRPr="007D3D4F" w14:paraId="0E94BFB7" w14:textId="77777777" w:rsidTr="00C309C6">
        <w:trPr>
          <w:trHeight w:val="137"/>
          <w:jc w:val="center"/>
        </w:trPr>
        <w:tc>
          <w:tcPr>
            <w:tcW w:w="2057" w:type="pct"/>
            <w:shd w:val="clear" w:color="auto" w:fill="E7E6E6" w:themeFill="background2"/>
            <w:vAlign w:val="center"/>
          </w:tcPr>
          <w:p w14:paraId="634815F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strada I - Tronson 2, Zona Vest, oraș Sulina, județul Tulcea</w:t>
            </w:r>
          </w:p>
        </w:tc>
        <w:tc>
          <w:tcPr>
            <w:tcW w:w="1246" w:type="pct"/>
            <w:shd w:val="clear" w:color="auto" w:fill="E7E6E6" w:themeFill="background2"/>
            <w:vAlign w:val="center"/>
          </w:tcPr>
          <w:p w14:paraId="5F7EA20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181BD55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ED3634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2.103.710,00</w:t>
            </w:r>
          </w:p>
        </w:tc>
      </w:tr>
      <w:tr w:rsidR="00AF66BB" w:rsidRPr="007D3D4F" w14:paraId="31719E9B" w14:textId="77777777" w:rsidTr="00C309C6">
        <w:trPr>
          <w:trHeight w:val="137"/>
          <w:jc w:val="center"/>
        </w:trPr>
        <w:tc>
          <w:tcPr>
            <w:tcW w:w="2057" w:type="pct"/>
            <w:shd w:val="clear" w:color="auto" w:fill="E7E6E6" w:themeFill="background2"/>
            <w:vAlign w:val="center"/>
          </w:tcPr>
          <w:p w14:paraId="7B8B7B0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mal stâng, zona Prospect, orașul Sulina, jud Tulcea</w:t>
            </w:r>
          </w:p>
        </w:tc>
        <w:tc>
          <w:tcPr>
            <w:tcW w:w="1246" w:type="pct"/>
            <w:shd w:val="clear" w:color="auto" w:fill="E7E6E6" w:themeFill="background2"/>
            <w:vAlign w:val="center"/>
          </w:tcPr>
          <w:p w14:paraId="30FB106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2AB067D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C8BFCE4"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6.757.740</w:t>
            </w:r>
          </w:p>
        </w:tc>
      </w:tr>
      <w:tr w:rsidR="00AF66BB" w:rsidRPr="007D3D4F" w14:paraId="2CCDECBB" w14:textId="77777777" w:rsidTr="00C309C6">
        <w:trPr>
          <w:trHeight w:val="137"/>
          <w:jc w:val="center"/>
        </w:trPr>
        <w:tc>
          <w:tcPr>
            <w:tcW w:w="4082" w:type="pct"/>
            <w:gridSpan w:val="3"/>
            <w:shd w:val="clear" w:color="auto" w:fill="767171" w:themeFill="background2" w:themeFillShade="80"/>
            <w:vAlign w:val="center"/>
          </w:tcPr>
          <w:p w14:paraId="6EDE69BC"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658B51CC"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13.308.213,94</w:t>
            </w:r>
          </w:p>
        </w:tc>
      </w:tr>
    </w:tbl>
    <w:p w14:paraId="72FF91CE"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51897DCD"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 xml:space="preserve">Comuna Topolog, județul Tulcea a derulat, în cadrul Programului Național de Dezvoltare Locală – etapele I și II, un total de patru proiecte majore de infrastructură rutieră, în valoare cumulată de aproximativ 25,75 milioane lei. Intervențiile au inclus modernizarea străzilor din localitatea Topolog, precum și construirea și </w:t>
      </w:r>
      <w:r w:rsidRPr="007D3D4F">
        <w:rPr>
          <w:rFonts w:ascii="Times New Roman" w:hAnsi="Times New Roman" w:cs="Times New Roman"/>
          <w:sz w:val="22"/>
          <w:szCs w:val="22"/>
        </w:rPr>
        <w:lastRenderedPageBreak/>
        <w:t>reabilitarea infrastructurii rutiere în satele Sâmbăta Nouă, Făgărașu Nou și Făgărașu Nou-Măgurele. Aceste investiții au vizat creșterea accesibilității între sate și îmbunătățirea conectivității rutiere locale.</w:t>
      </w:r>
    </w:p>
    <w:p w14:paraId="22AC05F4" w14:textId="1A5136E2"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51</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Topolog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0C3B7AC9" w14:textId="77777777" w:rsidTr="00C309C6">
        <w:trPr>
          <w:jc w:val="center"/>
        </w:trPr>
        <w:tc>
          <w:tcPr>
            <w:tcW w:w="2057" w:type="pct"/>
            <w:shd w:val="clear" w:color="auto" w:fill="3B3838" w:themeFill="background2" w:themeFillShade="40"/>
            <w:vAlign w:val="center"/>
          </w:tcPr>
          <w:p w14:paraId="3C6D2B5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4325AB2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172420F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6011216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7AB5AD85" w14:textId="77777777" w:rsidTr="00C309C6">
        <w:trPr>
          <w:trHeight w:val="137"/>
          <w:jc w:val="center"/>
        </w:trPr>
        <w:tc>
          <w:tcPr>
            <w:tcW w:w="2057" w:type="pct"/>
            <w:shd w:val="clear" w:color="auto" w:fill="E7E6E6" w:themeFill="background2"/>
            <w:vAlign w:val="center"/>
          </w:tcPr>
          <w:p w14:paraId="60E228F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în localitatea Topolog, Comuna Topolog, județul Tulcea</w:t>
            </w:r>
          </w:p>
        </w:tc>
        <w:tc>
          <w:tcPr>
            <w:tcW w:w="1246" w:type="pct"/>
            <w:shd w:val="clear" w:color="auto" w:fill="E7E6E6" w:themeFill="background2"/>
            <w:vAlign w:val="center"/>
          </w:tcPr>
          <w:p w14:paraId="5F4B660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w:t>
            </w:r>
          </w:p>
        </w:tc>
        <w:tc>
          <w:tcPr>
            <w:tcW w:w="779" w:type="pct"/>
            <w:shd w:val="clear" w:color="auto" w:fill="E7E6E6" w:themeFill="background2"/>
            <w:vAlign w:val="center"/>
          </w:tcPr>
          <w:p w14:paraId="6A96C90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5AAF63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3.444.967,07</w:t>
            </w:r>
          </w:p>
        </w:tc>
      </w:tr>
      <w:tr w:rsidR="00AF66BB" w:rsidRPr="007D3D4F" w14:paraId="68071B9E" w14:textId="77777777" w:rsidTr="00C309C6">
        <w:trPr>
          <w:trHeight w:val="137"/>
          <w:jc w:val="center"/>
        </w:trPr>
        <w:tc>
          <w:tcPr>
            <w:tcW w:w="2057" w:type="pct"/>
            <w:shd w:val="clear" w:color="auto" w:fill="E7E6E6" w:themeFill="background2"/>
            <w:vAlign w:val="center"/>
          </w:tcPr>
          <w:p w14:paraId="26CEB0F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Construire străzi în localitățile Sâmbăta Nouă și Făgărașu Nou, comuna Topolog</w:t>
            </w:r>
          </w:p>
        </w:tc>
        <w:tc>
          <w:tcPr>
            <w:tcW w:w="1246" w:type="pct"/>
            <w:shd w:val="clear" w:color="auto" w:fill="E7E6E6" w:themeFill="background2"/>
            <w:vAlign w:val="center"/>
          </w:tcPr>
          <w:p w14:paraId="6267D21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43F2A3F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4E888FF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14.652.031</w:t>
            </w:r>
          </w:p>
        </w:tc>
      </w:tr>
      <w:tr w:rsidR="00AF66BB" w:rsidRPr="007D3D4F" w14:paraId="1EDDCCC5" w14:textId="77777777" w:rsidTr="00C309C6">
        <w:trPr>
          <w:trHeight w:val="137"/>
          <w:jc w:val="center"/>
        </w:trPr>
        <w:tc>
          <w:tcPr>
            <w:tcW w:w="2057" w:type="pct"/>
            <w:shd w:val="clear" w:color="auto" w:fill="E7E6E6" w:themeFill="background2"/>
            <w:vAlign w:val="center"/>
          </w:tcPr>
          <w:p w14:paraId="73BB5B0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Reabilitare infrastructură în Sat Sâmbăta Nouă, Comuna Topolog, Județul Tulcea</w:t>
            </w:r>
          </w:p>
        </w:tc>
        <w:tc>
          <w:tcPr>
            <w:tcW w:w="1246" w:type="pct"/>
            <w:shd w:val="clear" w:color="auto" w:fill="E7E6E6" w:themeFill="background2"/>
            <w:vAlign w:val="center"/>
          </w:tcPr>
          <w:p w14:paraId="75A02B8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1CB3C4E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7965F9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570.000</w:t>
            </w:r>
          </w:p>
        </w:tc>
      </w:tr>
      <w:tr w:rsidR="00AF66BB" w:rsidRPr="007D3D4F" w14:paraId="6B54C0C2" w14:textId="77777777" w:rsidTr="00C309C6">
        <w:trPr>
          <w:trHeight w:val="137"/>
          <w:jc w:val="center"/>
        </w:trPr>
        <w:tc>
          <w:tcPr>
            <w:tcW w:w="2057" w:type="pct"/>
            <w:shd w:val="clear" w:color="auto" w:fill="E7E6E6" w:themeFill="background2"/>
            <w:vAlign w:val="center"/>
          </w:tcPr>
          <w:p w14:paraId="3E055BC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 comunal Făgărașu Nou-Măgurele, comuna Topolog, jud. Tulcea</w:t>
            </w:r>
          </w:p>
        </w:tc>
        <w:tc>
          <w:tcPr>
            <w:tcW w:w="1246" w:type="pct"/>
            <w:shd w:val="clear" w:color="auto" w:fill="E7E6E6" w:themeFill="background2"/>
            <w:vAlign w:val="center"/>
          </w:tcPr>
          <w:p w14:paraId="6E9F0D0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66C3ABA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B9DAF2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7.089.731</w:t>
            </w:r>
          </w:p>
        </w:tc>
      </w:tr>
      <w:tr w:rsidR="00AF66BB" w:rsidRPr="007D3D4F" w14:paraId="24D1E269" w14:textId="77777777" w:rsidTr="00C309C6">
        <w:trPr>
          <w:trHeight w:val="137"/>
          <w:jc w:val="center"/>
        </w:trPr>
        <w:tc>
          <w:tcPr>
            <w:tcW w:w="4082" w:type="pct"/>
            <w:gridSpan w:val="3"/>
            <w:shd w:val="clear" w:color="auto" w:fill="767171" w:themeFill="background2" w:themeFillShade="80"/>
            <w:vAlign w:val="center"/>
          </w:tcPr>
          <w:p w14:paraId="2D73B3CF"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4AC5E43D"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25.756.729,07</w:t>
            </w:r>
          </w:p>
        </w:tc>
      </w:tr>
    </w:tbl>
    <w:p w14:paraId="22E79F5A"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2AD904EE"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Comuna Turcoaia, județul Tulcea a beneficiat de finanțare prin Programul Național de Dezvoltare Locală – etapa II, pentru două proiecte de modernizare a infrastructurii rutiere, în valoare totală de aproximativ 18,63 milioane lei. Intervențiile au vizat modernizarea străzilor din comună, precum și modernizarea infrastructurii drumurilor comunale și stradale din localitatea Turcoaia, contribuind semnificativ la creșterea calității vieții locuitorilor și la fluidizarea traficului local.</w:t>
      </w:r>
    </w:p>
    <w:p w14:paraId="629EF201" w14:textId="0697A84C"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52</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Turcoaia prin Programul Național Dezvoltare Locală I și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78A86C25" w14:textId="77777777" w:rsidTr="00C309C6">
        <w:trPr>
          <w:jc w:val="center"/>
        </w:trPr>
        <w:tc>
          <w:tcPr>
            <w:tcW w:w="2057" w:type="pct"/>
            <w:shd w:val="clear" w:color="auto" w:fill="3B3838" w:themeFill="background2" w:themeFillShade="40"/>
            <w:vAlign w:val="center"/>
          </w:tcPr>
          <w:p w14:paraId="06B6FE8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354E9B8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23B0EC1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555D559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42F9BEFF" w14:textId="77777777" w:rsidTr="00C309C6">
        <w:trPr>
          <w:trHeight w:val="137"/>
          <w:jc w:val="center"/>
        </w:trPr>
        <w:tc>
          <w:tcPr>
            <w:tcW w:w="2057" w:type="pct"/>
            <w:shd w:val="clear" w:color="auto" w:fill="E7E6E6" w:themeFill="background2"/>
            <w:vAlign w:val="center"/>
          </w:tcPr>
          <w:p w14:paraId="7049CAC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Modernizare străzi în comuna Turcoaia, județul Tulcea</w:t>
            </w:r>
          </w:p>
        </w:tc>
        <w:tc>
          <w:tcPr>
            <w:tcW w:w="1246" w:type="pct"/>
            <w:shd w:val="clear" w:color="auto" w:fill="E7E6E6" w:themeFill="background2"/>
            <w:vAlign w:val="center"/>
          </w:tcPr>
          <w:p w14:paraId="59F5914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3CD25DC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6D647C1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2.875.779,07</w:t>
            </w:r>
          </w:p>
        </w:tc>
      </w:tr>
      <w:tr w:rsidR="00AF66BB" w:rsidRPr="007D3D4F" w14:paraId="2D153699" w14:textId="77777777" w:rsidTr="00C309C6">
        <w:trPr>
          <w:trHeight w:val="137"/>
          <w:jc w:val="center"/>
        </w:trPr>
        <w:tc>
          <w:tcPr>
            <w:tcW w:w="2057" w:type="pct"/>
            <w:shd w:val="clear" w:color="auto" w:fill="E7E6E6" w:themeFill="background2"/>
            <w:vAlign w:val="center"/>
          </w:tcPr>
          <w:p w14:paraId="0221167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infrastructură drumuri comunale și stradale în localitatea Turcoaia, Jud Tulcea</w:t>
            </w:r>
          </w:p>
        </w:tc>
        <w:tc>
          <w:tcPr>
            <w:tcW w:w="1246" w:type="pct"/>
            <w:shd w:val="clear" w:color="auto" w:fill="E7E6E6" w:themeFill="background2"/>
            <w:vAlign w:val="center"/>
          </w:tcPr>
          <w:p w14:paraId="4A6817F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166D44A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78F012F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15.760.596</w:t>
            </w:r>
          </w:p>
        </w:tc>
      </w:tr>
      <w:tr w:rsidR="00AF66BB" w:rsidRPr="007D3D4F" w14:paraId="5305C57A" w14:textId="77777777" w:rsidTr="00C309C6">
        <w:trPr>
          <w:trHeight w:val="137"/>
          <w:jc w:val="center"/>
        </w:trPr>
        <w:tc>
          <w:tcPr>
            <w:tcW w:w="4082" w:type="pct"/>
            <w:gridSpan w:val="3"/>
            <w:shd w:val="clear" w:color="auto" w:fill="767171" w:themeFill="background2" w:themeFillShade="80"/>
            <w:vAlign w:val="center"/>
          </w:tcPr>
          <w:p w14:paraId="21DC5889"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Total</w:t>
            </w:r>
          </w:p>
        </w:tc>
        <w:tc>
          <w:tcPr>
            <w:tcW w:w="918" w:type="pct"/>
            <w:shd w:val="clear" w:color="auto" w:fill="767171" w:themeFill="background2" w:themeFillShade="80"/>
            <w:vAlign w:val="center"/>
          </w:tcPr>
          <w:p w14:paraId="1D3D4827" w14:textId="77777777" w:rsidR="00AF66BB" w:rsidRPr="00C309C6" w:rsidRDefault="00AF66BB" w:rsidP="004C072F">
            <w:pPr>
              <w:spacing w:before="120" w:after="120"/>
              <w:contextualSpacing/>
              <w:jc w:val="center"/>
              <w:rPr>
                <w:rFonts w:ascii="Times New Roman" w:hAnsi="Times New Roman" w:cs="Times New Roman"/>
                <w:b/>
                <w:bCs/>
                <w:color w:val="FFFFFF" w:themeColor="background1"/>
                <w:sz w:val="20"/>
                <w:szCs w:val="20"/>
              </w:rPr>
            </w:pPr>
            <w:r w:rsidRPr="00C309C6">
              <w:rPr>
                <w:rFonts w:ascii="Times New Roman" w:hAnsi="Times New Roman" w:cs="Times New Roman"/>
                <w:b/>
                <w:bCs/>
                <w:color w:val="FFFFFF" w:themeColor="background1"/>
                <w:sz w:val="20"/>
                <w:szCs w:val="20"/>
              </w:rPr>
              <w:t>18.636.375,30</w:t>
            </w:r>
          </w:p>
        </w:tc>
      </w:tr>
    </w:tbl>
    <w:p w14:paraId="1F75B3D6"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0180DC68"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Comuna Valea Teilor, județul Tulcea a fost beneficiară a unei finanțări prin Programul Național de Dezvoltare Locală – etapa II, în cadrul unui proiect de asfaltare a străzilor din localitate, în valoare de 2.875.779,07 lei. Intervenția a avut drept scop îmbunătățirea infrastructurii rutiere locale, facilitând accesul locuitorilor și sprijinind dezvoltarea socio-economică a comunității.</w:t>
      </w:r>
    </w:p>
    <w:p w14:paraId="47943615" w14:textId="35167723"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53</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implementate în Comuna Valea Teilor prin Programul Național Dezvoltare Locală II</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3843"/>
        <w:gridCol w:w="2329"/>
        <w:gridCol w:w="1456"/>
        <w:gridCol w:w="1716"/>
      </w:tblGrid>
      <w:tr w:rsidR="00AF66BB" w:rsidRPr="007D3D4F" w14:paraId="028A8A1B" w14:textId="77777777" w:rsidTr="00C309C6">
        <w:trPr>
          <w:jc w:val="center"/>
        </w:trPr>
        <w:tc>
          <w:tcPr>
            <w:tcW w:w="2057" w:type="pct"/>
            <w:shd w:val="clear" w:color="auto" w:fill="3B3838" w:themeFill="background2" w:themeFillShade="40"/>
            <w:vAlign w:val="center"/>
          </w:tcPr>
          <w:p w14:paraId="1BEB953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1246" w:type="pct"/>
            <w:shd w:val="clear" w:color="auto" w:fill="3B3838" w:themeFill="background2" w:themeFillShade="40"/>
            <w:vAlign w:val="center"/>
          </w:tcPr>
          <w:p w14:paraId="37C8AFF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Program de finanțare</w:t>
            </w:r>
          </w:p>
        </w:tc>
        <w:tc>
          <w:tcPr>
            <w:tcW w:w="779" w:type="pct"/>
            <w:shd w:val="clear" w:color="auto" w:fill="3B3838" w:themeFill="background2" w:themeFillShade="40"/>
            <w:vAlign w:val="center"/>
          </w:tcPr>
          <w:p w14:paraId="29131456"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18" w:type="pct"/>
            <w:shd w:val="clear" w:color="auto" w:fill="3B3838" w:themeFill="background2" w:themeFillShade="40"/>
            <w:vAlign w:val="center"/>
          </w:tcPr>
          <w:p w14:paraId="5BFFE1E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r>
      <w:tr w:rsidR="00AF66BB" w:rsidRPr="007D3D4F" w14:paraId="48D0ED5E" w14:textId="77777777" w:rsidTr="00C309C6">
        <w:trPr>
          <w:trHeight w:val="137"/>
          <w:jc w:val="center"/>
        </w:trPr>
        <w:tc>
          <w:tcPr>
            <w:tcW w:w="2057" w:type="pct"/>
            <w:shd w:val="clear" w:color="auto" w:fill="E7E6E6" w:themeFill="background2"/>
            <w:vAlign w:val="center"/>
          </w:tcPr>
          <w:p w14:paraId="17E0D4D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străzi în localitatea Valea Teilor, comuna Valea Teilor, județul Tulcea</w:t>
            </w:r>
          </w:p>
          <w:p w14:paraId="275254AA" w14:textId="77777777" w:rsidR="00AF66BB" w:rsidRPr="007D3D4F" w:rsidRDefault="00AF66BB" w:rsidP="004C072F">
            <w:pPr>
              <w:spacing w:before="120" w:after="120"/>
              <w:contextualSpacing/>
              <w:jc w:val="center"/>
              <w:rPr>
                <w:rFonts w:ascii="Times New Roman" w:hAnsi="Times New Roman" w:cs="Times New Roman"/>
                <w:sz w:val="20"/>
                <w:szCs w:val="20"/>
              </w:rPr>
            </w:pPr>
          </w:p>
        </w:tc>
        <w:tc>
          <w:tcPr>
            <w:tcW w:w="1246" w:type="pct"/>
            <w:shd w:val="clear" w:color="auto" w:fill="E7E6E6" w:themeFill="background2"/>
            <w:vAlign w:val="center"/>
          </w:tcPr>
          <w:p w14:paraId="1C86C15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PNDL II</w:t>
            </w:r>
          </w:p>
        </w:tc>
        <w:tc>
          <w:tcPr>
            <w:tcW w:w="779" w:type="pct"/>
            <w:shd w:val="clear" w:color="auto" w:fill="E7E6E6" w:themeFill="background2"/>
            <w:vAlign w:val="center"/>
          </w:tcPr>
          <w:p w14:paraId="78B420A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18" w:type="pct"/>
            <w:shd w:val="clear" w:color="auto" w:fill="E7E6E6" w:themeFill="background2"/>
            <w:vAlign w:val="center"/>
          </w:tcPr>
          <w:p w14:paraId="3155EF7A"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2.875.779,07</w:t>
            </w:r>
          </w:p>
        </w:tc>
      </w:tr>
    </w:tbl>
    <w:p w14:paraId="122F0505"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30E04A70" w14:textId="77777777" w:rsidR="00AF66BB" w:rsidRPr="007D3D4F" w:rsidRDefault="00AF66BB" w:rsidP="004C072F">
      <w:pPr>
        <w:pStyle w:val="Smn"/>
        <w:shd w:val="clear" w:color="auto" w:fill="FFF2CC" w:themeFill="accent4" w:themeFillTint="33"/>
        <w:contextualSpacing/>
        <w:rPr>
          <w:rFonts w:ascii="Times New Roman" w:hAnsi="Times New Roman" w:cs="Times New Roman"/>
          <w:b/>
          <w:bCs/>
          <w:sz w:val="22"/>
          <w:szCs w:val="22"/>
        </w:rPr>
      </w:pPr>
      <w:r w:rsidRPr="007D3D4F">
        <w:rPr>
          <w:rFonts w:ascii="Times New Roman" w:hAnsi="Times New Roman" w:cs="Times New Roman"/>
          <w:b/>
          <w:bCs/>
          <w:sz w:val="22"/>
          <w:szCs w:val="22"/>
        </w:rPr>
        <w:lastRenderedPageBreak/>
        <w:t>Programul Național Anghel Saligny</w:t>
      </w:r>
    </w:p>
    <w:p w14:paraId="27947851"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Programul Național Anghel Saligny continuă direcția strategică începută prin PNDL, sprijinind dezvoltarea infrastructurii locale, în special în zonele rurale și urbane mici. Localitățile din județul Tulcea au valorificat acest instrument, fiind alocate fonduri pentru un total de 49 de proiecte.</w:t>
      </w:r>
    </w:p>
    <w:p w14:paraId="05D875CC"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Conform ultimei actualizări de la data de 31 martie 2025, dintre acestea 43 de proiecte au fost deja contractate, cu o valoare cumulată de peste 500 milioane lei, vizând modernizarea a 332,1 km de drumuri. Pentru celelalte 6 proiecte, care figurează ca având sumele alocate, dar necontractate încă, valoarea totală se ridică la 67.113.814 lei, iar lungimea drumurilor ce urmează a fi modernizate este estimată la 32 km.</w:t>
      </w:r>
    </w:p>
    <w:p w14:paraId="5C2BD9B1"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ansamblu, investițiile propuse prin Anghel Saligny în județul Tulcea vor contribui la modernizarea a 364,1 km de infrastructură rutieră, consolidând accesibilitatea și conectivitatea teritoriului județean.</w:t>
      </w:r>
    </w:p>
    <w:p w14:paraId="194B3930"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continuare, proiectele vor fi grupate în funcție de valoarea alocată fiecăruia, în ordine descrescătoare. Pentru o imagine completă, proiectele care nu au fost contractate până la data de 31 martie 2025 vor fi prezentate separat, la finalul listei, cu mențiunea corespunzătoare privind stadiul acestora.</w:t>
      </w:r>
    </w:p>
    <w:p w14:paraId="75DDB0C3"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județul Tulcea au fost contractate 5 proiecte cu o valoare de cel puțin 20 milioane lei prin Programul Național Anghel Saligny, totalizând peste 170 milioane lei. Acestea vizează modernizarea a peste 56 km de drumuri și includ investiții majore în DN22E – Grindu, municipiul Tulcea, orașul Măcin, comuna Greci și comuna Sarichioi, așa cum se poate observa în tabelul de mai jos.</w:t>
      </w:r>
    </w:p>
    <w:p w14:paraId="54D3303C" w14:textId="2B3BC6D0"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54</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contractate în Județul Tulcea cu o valoare de cel puțin 20.000.000 lei prin Programul Național Anghel Saligny</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4113"/>
        <w:gridCol w:w="1559"/>
        <w:gridCol w:w="1837"/>
        <w:gridCol w:w="1835"/>
      </w:tblGrid>
      <w:tr w:rsidR="00AF66BB" w:rsidRPr="007D3D4F" w14:paraId="5470F693" w14:textId="77777777" w:rsidTr="00C309C6">
        <w:trPr>
          <w:jc w:val="center"/>
        </w:trPr>
        <w:tc>
          <w:tcPr>
            <w:tcW w:w="2201" w:type="pct"/>
            <w:shd w:val="clear" w:color="auto" w:fill="3B3838" w:themeFill="background2" w:themeFillShade="40"/>
            <w:vAlign w:val="center"/>
          </w:tcPr>
          <w:p w14:paraId="44EE505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834" w:type="pct"/>
            <w:shd w:val="clear" w:color="auto" w:fill="3B3838" w:themeFill="background2" w:themeFillShade="40"/>
            <w:vAlign w:val="center"/>
          </w:tcPr>
          <w:p w14:paraId="058C7AE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983" w:type="pct"/>
            <w:shd w:val="clear" w:color="auto" w:fill="3B3838" w:themeFill="background2" w:themeFillShade="40"/>
            <w:vAlign w:val="center"/>
          </w:tcPr>
          <w:p w14:paraId="79531E2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c>
          <w:tcPr>
            <w:tcW w:w="982" w:type="pct"/>
            <w:shd w:val="clear" w:color="auto" w:fill="3B3838" w:themeFill="background2" w:themeFillShade="40"/>
            <w:vAlign w:val="center"/>
          </w:tcPr>
          <w:p w14:paraId="04B9514F"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Nr. km modernizați</w:t>
            </w:r>
          </w:p>
        </w:tc>
      </w:tr>
      <w:tr w:rsidR="00AF66BB" w:rsidRPr="007D3D4F" w14:paraId="29D9BE7D" w14:textId="77777777" w:rsidTr="00C309C6">
        <w:trPr>
          <w:trHeight w:val="137"/>
          <w:jc w:val="center"/>
        </w:trPr>
        <w:tc>
          <w:tcPr>
            <w:tcW w:w="2201" w:type="pct"/>
            <w:shd w:val="clear" w:color="auto" w:fill="E7E6E6" w:themeFill="background2"/>
            <w:vAlign w:val="center"/>
          </w:tcPr>
          <w:p w14:paraId="0CB04C0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infrastructură de transport regional pe traseul DN22E - Grindu</w:t>
            </w:r>
          </w:p>
        </w:tc>
        <w:tc>
          <w:tcPr>
            <w:tcW w:w="834" w:type="pct"/>
            <w:shd w:val="clear" w:color="auto" w:fill="E7E6E6" w:themeFill="background2"/>
            <w:vAlign w:val="center"/>
          </w:tcPr>
          <w:p w14:paraId="6262891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83" w:type="pct"/>
            <w:shd w:val="clear" w:color="auto" w:fill="E7E6E6" w:themeFill="background2"/>
            <w:vAlign w:val="center"/>
          </w:tcPr>
          <w:p w14:paraId="7931B5D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49.762.142</w:t>
            </w:r>
          </w:p>
        </w:tc>
        <w:tc>
          <w:tcPr>
            <w:tcW w:w="982" w:type="pct"/>
            <w:shd w:val="clear" w:color="auto" w:fill="E7E6E6" w:themeFill="background2"/>
            <w:vAlign w:val="center"/>
          </w:tcPr>
          <w:p w14:paraId="031A7A7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w:t>
            </w:r>
          </w:p>
        </w:tc>
      </w:tr>
      <w:tr w:rsidR="00AF66BB" w:rsidRPr="007D3D4F" w14:paraId="2AA00C8D" w14:textId="77777777" w:rsidTr="00C309C6">
        <w:trPr>
          <w:trHeight w:val="137"/>
          <w:jc w:val="center"/>
        </w:trPr>
        <w:tc>
          <w:tcPr>
            <w:tcW w:w="2201" w:type="pct"/>
            <w:shd w:val="clear" w:color="auto" w:fill="E7E6E6" w:themeFill="background2"/>
            <w:vAlign w:val="center"/>
          </w:tcPr>
          <w:p w14:paraId="216D9A4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Reabilitare și modernizare sistem rutier străzi municipiul Tulcea</w:t>
            </w:r>
          </w:p>
        </w:tc>
        <w:tc>
          <w:tcPr>
            <w:tcW w:w="834" w:type="pct"/>
            <w:shd w:val="clear" w:color="auto" w:fill="E7E6E6" w:themeFill="background2"/>
            <w:vAlign w:val="center"/>
          </w:tcPr>
          <w:p w14:paraId="04C4709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83" w:type="pct"/>
            <w:shd w:val="clear" w:color="auto" w:fill="E7E6E6" w:themeFill="background2"/>
            <w:vAlign w:val="center"/>
          </w:tcPr>
          <w:p w14:paraId="7F20C9D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36.583.434</w:t>
            </w:r>
          </w:p>
        </w:tc>
        <w:tc>
          <w:tcPr>
            <w:tcW w:w="982" w:type="pct"/>
            <w:shd w:val="clear" w:color="auto" w:fill="E7E6E6" w:themeFill="background2"/>
            <w:vAlign w:val="center"/>
          </w:tcPr>
          <w:p w14:paraId="27EC2DA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16,3</w:t>
            </w:r>
          </w:p>
        </w:tc>
      </w:tr>
      <w:tr w:rsidR="00AF66BB" w:rsidRPr="007D3D4F" w14:paraId="669BDA7D" w14:textId="77777777" w:rsidTr="00C309C6">
        <w:trPr>
          <w:trHeight w:val="137"/>
          <w:jc w:val="center"/>
        </w:trPr>
        <w:tc>
          <w:tcPr>
            <w:tcW w:w="2201" w:type="pct"/>
            <w:shd w:val="clear" w:color="auto" w:fill="E7E6E6" w:themeFill="background2"/>
            <w:vAlign w:val="center"/>
          </w:tcPr>
          <w:p w14:paraId="590E4F7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în orașul Măcin, județul Tulcea - etapa 3</w:t>
            </w:r>
          </w:p>
        </w:tc>
        <w:tc>
          <w:tcPr>
            <w:tcW w:w="834" w:type="pct"/>
            <w:shd w:val="clear" w:color="auto" w:fill="E7E6E6" w:themeFill="background2"/>
            <w:vAlign w:val="center"/>
          </w:tcPr>
          <w:p w14:paraId="150C7F8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83" w:type="pct"/>
            <w:shd w:val="clear" w:color="auto" w:fill="E7E6E6" w:themeFill="background2"/>
            <w:vAlign w:val="center"/>
          </w:tcPr>
          <w:p w14:paraId="1B85F17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25.000.000</w:t>
            </w:r>
          </w:p>
        </w:tc>
        <w:tc>
          <w:tcPr>
            <w:tcW w:w="982" w:type="pct"/>
            <w:shd w:val="clear" w:color="auto" w:fill="E7E6E6" w:themeFill="background2"/>
            <w:vAlign w:val="center"/>
          </w:tcPr>
          <w:p w14:paraId="7C8DCA6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7,7</w:t>
            </w:r>
          </w:p>
        </w:tc>
      </w:tr>
      <w:tr w:rsidR="00AF66BB" w:rsidRPr="007D3D4F" w14:paraId="2F0D3A28" w14:textId="77777777" w:rsidTr="00C309C6">
        <w:trPr>
          <w:trHeight w:val="137"/>
          <w:jc w:val="center"/>
        </w:trPr>
        <w:tc>
          <w:tcPr>
            <w:tcW w:w="2201" w:type="pct"/>
            <w:shd w:val="clear" w:color="auto" w:fill="E7E6E6" w:themeFill="background2"/>
            <w:vAlign w:val="center"/>
          </w:tcPr>
          <w:p w14:paraId="0419E96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Amenajare sistem rutier în comuna Greci - faza I</w:t>
            </w:r>
          </w:p>
        </w:tc>
        <w:tc>
          <w:tcPr>
            <w:tcW w:w="834" w:type="pct"/>
            <w:shd w:val="clear" w:color="auto" w:fill="E7E6E6" w:themeFill="background2"/>
            <w:vAlign w:val="center"/>
          </w:tcPr>
          <w:p w14:paraId="711C78F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83" w:type="pct"/>
            <w:shd w:val="clear" w:color="auto" w:fill="E7E6E6" w:themeFill="background2"/>
            <w:vAlign w:val="center"/>
          </w:tcPr>
          <w:p w14:paraId="6C58DC44"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20.000.000</w:t>
            </w:r>
          </w:p>
        </w:tc>
        <w:tc>
          <w:tcPr>
            <w:tcW w:w="982" w:type="pct"/>
            <w:shd w:val="clear" w:color="auto" w:fill="E7E6E6" w:themeFill="background2"/>
            <w:vAlign w:val="center"/>
          </w:tcPr>
          <w:p w14:paraId="2806FC6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11,1</w:t>
            </w:r>
          </w:p>
        </w:tc>
      </w:tr>
      <w:tr w:rsidR="00AF66BB" w:rsidRPr="007D3D4F" w14:paraId="5FC1DAC6" w14:textId="77777777" w:rsidTr="00C309C6">
        <w:trPr>
          <w:trHeight w:val="137"/>
          <w:jc w:val="center"/>
        </w:trPr>
        <w:tc>
          <w:tcPr>
            <w:tcW w:w="2201" w:type="pct"/>
            <w:shd w:val="clear" w:color="auto" w:fill="E7E6E6" w:themeFill="background2"/>
            <w:vAlign w:val="center"/>
          </w:tcPr>
          <w:p w14:paraId="297CE25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în satele Visterna, Enisala, Sabangia, Zebil și Sarichioi, comuna Sarichioi, județul Tulcea - ETAPA 1</w:t>
            </w:r>
          </w:p>
        </w:tc>
        <w:tc>
          <w:tcPr>
            <w:tcW w:w="834" w:type="pct"/>
            <w:shd w:val="clear" w:color="auto" w:fill="E7E6E6" w:themeFill="background2"/>
            <w:vAlign w:val="center"/>
          </w:tcPr>
          <w:p w14:paraId="37047E0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983" w:type="pct"/>
            <w:shd w:val="clear" w:color="auto" w:fill="E7E6E6" w:themeFill="background2"/>
            <w:vAlign w:val="center"/>
          </w:tcPr>
          <w:p w14:paraId="4263722A"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20.000.000</w:t>
            </w:r>
          </w:p>
        </w:tc>
        <w:tc>
          <w:tcPr>
            <w:tcW w:w="982" w:type="pct"/>
            <w:shd w:val="clear" w:color="auto" w:fill="E7E6E6" w:themeFill="background2"/>
            <w:vAlign w:val="center"/>
          </w:tcPr>
          <w:p w14:paraId="7C1F81C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11,3</w:t>
            </w:r>
          </w:p>
        </w:tc>
      </w:tr>
    </w:tbl>
    <w:p w14:paraId="2AF2BBF7"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3D21CAFF"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 xml:space="preserve">În județul Tulcea, </w:t>
      </w:r>
      <w:r w:rsidRPr="007D3D4F">
        <w:rPr>
          <w:rFonts w:ascii="Times New Roman" w:hAnsi="Times New Roman" w:cs="Times New Roman"/>
          <w:b/>
          <w:bCs/>
          <w:sz w:val="22"/>
          <w:szCs w:val="22"/>
        </w:rPr>
        <w:t>17 proiecte</w:t>
      </w:r>
      <w:r w:rsidRPr="007D3D4F">
        <w:rPr>
          <w:rFonts w:ascii="Times New Roman" w:hAnsi="Times New Roman" w:cs="Times New Roman"/>
          <w:sz w:val="22"/>
          <w:szCs w:val="22"/>
        </w:rPr>
        <w:t xml:space="preserve"> contractate prin Programul Național Anghel Saligny au valori cuprinse între </w:t>
      </w:r>
      <w:r w:rsidRPr="007D3D4F">
        <w:rPr>
          <w:rFonts w:ascii="Times New Roman" w:hAnsi="Times New Roman" w:cs="Times New Roman"/>
          <w:b/>
          <w:bCs/>
          <w:sz w:val="22"/>
          <w:szCs w:val="22"/>
        </w:rPr>
        <w:t>11 și 20 milioane lei</w:t>
      </w:r>
      <w:r w:rsidRPr="007D3D4F">
        <w:rPr>
          <w:rFonts w:ascii="Times New Roman" w:hAnsi="Times New Roman" w:cs="Times New Roman"/>
          <w:sz w:val="22"/>
          <w:szCs w:val="22"/>
        </w:rPr>
        <w:t xml:space="preserve">, însumând aproximativ </w:t>
      </w:r>
      <w:r w:rsidRPr="007D3D4F">
        <w:rPr>
          <w:rFonts w:ascii="Times New Roman" w:hAnsi="Times New Roman" w:cs="Times New Roman"/>
          <w:b/>
          <w:bCs/>
          <w:sz w:val="22"/>
          <w:szCs w:val="22"/>
        </w:rPr>
        <w:t>248 milioane lei</w:t>
      </w:r>
      <w:r w:rsidRPr="007D3D4F">
        <w:rPr>
          <w:rFonts w:ascii="Times New Roman" w:hAnsi="Times New Roman" w:cs="Times New Roman"/>
          <w:sz w:val="22"/>
          <w:szCs w:val="22"/>
        </w:rPr>
        <w:t xml:space="preserve">. Aceste investiții vizează modernizarea a peste </w:t>
      </w:r>
      <w:r w:rsidRPr="007D3D4F">
        <w:rPr>
          <w:rFonts w:ascii="Times New Roman" w:hAnsi="Times New Roman" w:cs="Times New Roman"/>
          <w:b/>
          <w:bCs/>
          <w:sz w:val="22"/>
          <w:szCs w:val="22"/>
        </w:rPr>
        <w:t>170 km de drumuri</w:t>
      </w:r>
      <w:r w:rsidRPr="007D3D4F">
        <w:rPr>
          <w:rFonts w:ascii="Times New Roman" w:hAnsi="Times New Roman" w:cs="Times New Roman"/>
          <w:sz w:val="22"/>
          <w:szCs w:val="22"/>
        </w:rPr>
        <w:t>, contribuind semnificativ la îmbunătățirea mobilității în localități precum Jurilovca, Baia, Cerna, Mahmudia, Slava Cercheză, Agighiol, Nalbant, Casimcea, Beidaud sau Mihail Kogălniceanu, așa cum se poate observa în tabelul de mai jos.</w:t>
      </w:r>
    </w:p>
    <w:p w14:paraId="5475716D" w14:textId="5A39C8D0"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55</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contractate în Județul Tulcea cu o valoare cuprinsă între 11.000.000 și 20.000.000 lei prin Programul Național Anghel Saligny</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ayout w:type="fixed"/>
        <w:tblLook w:val="04A0" w:firstRow="1" w:lastRow="0" w:firstColumn="1" w:lastColumn="0" w:noHBand="0" w:noVBand="1"/>
      </w:tblPr>
      <w:tblGrid>
        <w:gridCol w:w="4953"/>
        <w:gridCol w:w="1615"/>
        <w:gridCol w:w="1389"/>
        <w:gridCol w:w="1387"/>
      </w:tblGrid>
      <w:tr w:rsidR="00AF66BB" w:rsidRPr="007D3D4F" w14:paraId="217CDF43" w14:textId="77777777" w:rsidTr="00C309C6">
        <w:trPr>
          <w:tblHeader/>
          <w:jc w:val="center"/>
        </w:trPr>
        <w:tc>
          <w:tcPr>
            <w:tcW w:w="2651" w:type="pct"/>
            <w:shd w:val="clear" w:color="auto" w:fill="3B3838" w:themeFill="background2" w:themeFillShade="40"/>
            <w:vAlign w:val="center"/>
          </w:tcPr>
          <w:p w14:paraId="388D45CE"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864" w:type="pct"/>
            <w:shd w:val="clear" w:color="auto" w:fill="3B3838" w:themeFill="background2" w:themeFillShade="40"/>
            <w:vAlign w:val="center"/>
          </w:tcPr>
          <w:p w14:paraId="1EBBB63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743" w:type="pct"/>
            <w:shd w:val="clear" w:color="auto" w:fill="3B3838" w:themeFill="background2" w:themeFillShade="40"/>
            <w:vAlign w:val="center"/>
          </w:tcPr>
          <w:p w14:paraId="2249652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c>
          <w:tcPr>
            <w:tcW w:w="743" w:type="pct"/>
            <w:shd w:val="clear" w:color="auto" w:fill="3B3838" w:themeFill="background2" w:themeFillShade="40"/>
            <w:vAlign w:val="center"/>
          </w:tcPr>
          <w:p w14:paraId="74BA132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Nr. km modernizați</w:t>
            </w:r>
          </w:p>
        </w:tc>
      </w:tr>
      <w:tr w:rsidR="00AF66BB" w:rsidRPr="007D3D4F" w14:paraId="061A2ECB" w14:textId="77777777" w:rsidTr="00C309C6">
        <w:trPr>
          <w:trHeight w:val="137"/>
          <w:jc w:val="center"/>
        </w:trPr>
        <w:tc>
          <w:tcPr>
            <w:tcW w:w="2651" w:type="pct"/>
            <w:shd w:val="clear" w:color="auto" w:fill="E7E6E6" w:themeFill="background2"/>
            <w:vAlign w:val="center"/>
          </w:tcPr>
          <w:p w14:paraId="4E8DD3F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drumuri locale în comuna Jurilovca, județul Tulcea</w:t>
            </w:r>
          </w:p>
        </w:tc>
        <w:tc>
          <w:tcPr>
            <w:tcW w:w="864" w:type="pct"/>
            <w:shd w:val="clear" w:color="auto" w:fill="E7E6E6" w:themeFill="background2"/>
            <w:vAlign w:val="center"/>
          </w:tcPr>
          <w:p w14:paraId="320AC27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61D421F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16.419.071</w:t>
            </w:r>
          </w:p>
        </w:tc>
        <w:tc>
          <w:tcPr>
            <w:tcW w:w="743" w:type="pct"/>
            <w:shd w:val="clear" w:color="auto" w:fill="E7E6E6" w:themeFill="background2"/>
            <w:vAlign w:val="center"/>
          </w:tcPr>
          <w:p w14:paraId="22287B9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16,3</w:t>
            </w:r>
          </w:p>
        </w:tc>
      </w:tr>
      <w:tr w:rsidR="00AF66BB" w:rsidRPr="007D3D4F" w14:paraId="7E590C81" w14:textId="77777777" w:rsidTr="00C309C6">
        <w:trPr>
          <w:trHeight w:val="137"/>
          <w:jc w:val="center"/>
        </w:trPr>
        <w:tc>
          <w:tcPr>
            <w:tcW w:w="2651" w:type="pct"/>
            <w:shd w:val="clear" w:color="auto" w:fill="E7E6E6" w:themeFill="background2"/>
            <w:vAlign w:val="center"/>
          </w:tcPr>
          <w:p w14:paraId="3581DA8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în localitatea Baia</w:t>
            </w:r>
          </w:p>
        </w:tc>
        <w:tc>
          <w:tcPr>
            <w:tcW w:w="864" w:type="pct"/>
            <w:shd w:val="clear" w:color="auto" w:fill="E7E6E6" w:themeFill="background2"/>
            <w:vAlign w:val="center"/>
          </w:tcPr>
          <w:p w14:paraId="51A9D43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7B3E69D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3" w:type="pct"/>
            <w:shd w:val="clear" w:color="auto" w:fill="E7E6E6" w:themeFill="background2"/>
            <w:vAlign w:val="center"/>
          </w:tcPr>
          <w:p w14:paraId="24702C1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12,5</w:t>
            </w:r>
          </w:p>
        </w:tc>
      </w:tr>
      <w:tr w:rsidR="00AF66BB" w:rsidRPr="007D3D4F" w14:paraId="6B44E292" w14:textId="77777777" w:rsidTr="00C309C6">
        <w:trPr>
          <w:trHeight w:val="137"/>
          <w:jc w:val="center"/>
        </w:trPr>
        <w:tc>
          <w:tcPr>
            <w:tcW w:w="2651" w:type="pct"/>
            <w:shd w:val="clear" w:color="auto" w:fill="E7E6E6" w:themeFill="background2"/>
            <w:vAlign w:val="center"/>
          </w:tcPr>
          <w:p w14:paraId="3941A501"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lastRenderedPageBreak/>
              <w:t>Asfaltare străzi în satele Mircea Voda, General Praporgescu, Traian, localitatea Cerna, județul Tulcea</w:t>
            </w:r>
          </w:p>
        </w:tc>
        <w:tc>
          <w:tcPr>
            <w:tcW w:w="864" w:type="pct"/>
            <w:shd w:val="clear" w:color="auto" w:fill="E7E6E6" w:themeFill="background2"/>
            <w:vAlign w:val="center"/>
          </w:tcPr>
          <w:p w14:paraId="2663DFD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608E479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3" w:type="pct"/>
            <w:shd w:val="clear" w:color="auto" w:fill="E7E6E6" w:themeFill="background2"/>
            <w:vAlign w:val="center"/>
          </w:tcPr>
          <w:p w14:paraId="4D5C5C11"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10,5</w:t>
            </w:r>
          </w:p>
        </w:tc>
      </w:tr>
      <w:tr w:rsidR="00AF66BB" w:rsidRPr="007D3D4F" w14:paraId="7C99653B" w14:textId="77777777" w:rsidTr="00C309C6">
        <w:trPr>
          <w:trHeight w:val="137"/>
          <w:jc w:val="center"/>
        </w:trPr>
        <w:tc>
          <w:tcPr>
            <w:tcW w:w="2651" w:type="pct"/>
            <w:shd w:val="clear" w:color="auto" w:fill="E7E6E6" w:themeFill="background2"/>
            <w:vAlign w:val="center"/>
          </w:tcPr>
          <w:p w14:paraId="4CB4F88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străzi în comuna Cerna, județul Tulcea - etapa III</w:t>
            </w:r>
          </w:p>
        </w:tc>
        <w:tc>
          <w:tcPr>
            <w:tcW w:w="864" w:type="pct"/>
            <w:shd w:val="clear" w:color="auto" w:fill="E7E6E6" w:themeFill="background2"/>
            <w:vAlign w:val="center"/>
          </w:tcPr>
          <w:p w14:paraId="55AFCFE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54C8925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3" w:type="pct"/>
            <w:shd w:val="clear" w:color="auto" w:fill="E7E6E6" w:themeFill="background2"/>
            <w:vAlign w:val="center"/>
          </w:tcPr>
          <w:p w14:paraId="2DA3B66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w:t>
            </w:r>
          </w:p>
        </w:tc>
      </w:tr>
      <w:tr w:rsidR="00AF66BB" w:rsidRPr="007D3D4F" w14:paraId="309446E9" w14:textId="77777777" w:rsidTr="00C309C6">
        <w:trPr>
          <w:trHeight w:val="137"/>
          <w:jc w:val="center"/>
        </w:trPr>
        <w:tc>
          <w:tcPr>
            <w:tcW w:w="2651" w:type="pct"/>
            <w:shd w:val="clear" w:color="auto" w:fill="E7E6E6" w:themeFill="background2"/>
            <w:vAlign w:val="center"/>
          </w:tcPr>
          <w:p w14:paraId="23CD8424"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de interes local și execuție podețe pentru asigurarea continuității drumurilor în comuna Frecăței, județul Tulcea</w:t>
            </w:r>
          </w:p>
        </w:tc>
        <w:tc>
          <w:tcPr>
            <w:tcW w:w="864" w:type="pct"/>
            <w:shd w:val="clear" w:color="auto" w:fill="E7E6E6" w:themeFill="background2"/>
            <w:vAlign w:val="center"/>
          </w:tcPr>
          <w:p w14:paraId="1E532EB9"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78343A4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3" w:type="pct"/>
            <w:shd w:val="clear" w:color="auto" w:fill="E7E6E6" w:themeFill="background2"/>
            <w:vAlign w:val="center"/>
          </w:tcPr>
          <w:p w14:paraId="06ACDC8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8,9</w:t>
            </w:r>
          </w:p>
        </w:tc>
      </w:tr>
      <w:tr w:rsidR="00AF66BB" w:rsidRPr="007D3D4F" w14:paraId="501B1072" w14:textId="77777777" w:rsidTr="00C309C6">
        <w:trPr>
          <w:trHeight w:val="137"/>
          <w:jc w:val="center"/>
        </w:trPr>
        <w:tc>
          <w:tcPr>
            <w:tcW w:w="2651" w:type="pct"/>
            <w:shd w:val="clear" w:color="auto" w:fill="E7E6E6" w:themeFill="background2"/>
            <w:vAlign w:val="center"/>
          </w:tcPr>
          <w:p w14:paraId="437130C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străzi în comuna Mahmudia, județul Tulcea</w:t>
            </w:r>
          </w:p>
        </w:tc>
        <w:tc>
          <w:tcPr>
            <w:tcW w:w="864" w:type="pct"/>
            <w:shd w:val="clear" w:color="auto" w:fill="E7E6E6" w:themeFill="background2"/>
          </w:tcPr>
          <w:p w14:paraId="686873B1"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0A2B38C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3" w:type="pct"/>
            <w:shd w:val="clear" w:color="auto" w:fill="E7E6E6" w:themeFill="background2"/>
            <w:vAlign w:val="center"/>
          </w:tcPr>
          <w:p w14:paraId="372CE35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10,7</w:t>
            </w:r>
          </w:p>
        </w:tc>
      </w:tr>
      <w:tr w:rsidR="00AF66BB" w:rsidRPr="007D3D4F" w14:paraId="3DF23C4A" w14:textId="77777777" w:rsidTr="00C309C6">
        <w:trPr>
          <w:trHeight w:val="137"/>
          <w:jc w:val="center"/>
        </w:trPr>
        <w:tc>
          <w:tcPr>
            <w:tcW w:w="2651" w:type="pct"/>
            <w:shd w:val="clear" w:color="auto" w:fill="E7E6E6" w:themeFill="background2"/>
            <w:vAlign w:val="center"/>
          </w:tcPr>
          <w:p w14:paraId="3952BEF4"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în lungime de aproximativ 15,0 km în comuna Nalbant, județul Tulcea</w:t>
            </w:r>
          </w:p>
        </w:tc>
        <w:tc>
          <w:tcPr>
            <w:tcW w:w="864" w:type="pct"/>
            <w:shd w:val="clear" w:color="auto" w:fill="E7E6E6" w:themeFill="background2"/>
          </w:tcPr>
          <w:p w14:paraId="367472C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2C650C5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3" w:type="pct"/>
            <w:shd w:val="clear" w:color="auto" w:fill="E7E6E6" w:themeFill="background2"/>
            <w:vAlign w:val="center"/>
          </w:tcPr>
          <w:p w14:paraId="3B977F0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13,9</w:t>
            </w:r>
          </w:p>
        </w:tc>
      </w:tr>
      <w:tr w:rsidR="00AF66BB" w:rsidRPr="007D3D4F" w14:paraId="5F301D96" w14:textId="77777777" w:rsidTr="00C309C6">
        <w:trPr>
          <w:trHeight w:val="137"/>
          <w:jc w:val="center"/>
        </w:trPr>
        <w:tc>
          <w:tcPr>
            <w:tcW w:w="2651" w:type="pct"/>
            <w:shd w:val="clear" w:color="auto" w:fill="E7E6E6" w:themeFill="background2"/>
            <w:vAlign w:val="center"/>
          </w:tcPr>
          <w:p w14:paraId="10FFB48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străzi, modernizare alei pietonale, accese la proprietăți și dispozitive de scurgerea apelor în comuna Slava Cercheză, județul Tulcea</w:t>
            </w:r>
          </w:p>
        </w:tc>
        <w:tc>
          <w:tcPr>
            <w:tcW w:w="864" w:type="pct"/>
            <w:shd w:val="clear" w:color="auto" w:fill="E7E6E6" w:themeFill="background2"/>
          </w:tcPr>
          <w:p w14:paraId="3CBE84F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7400390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3" w:type="pct"/>
            <w:shd w:val="clear" w:color="auto" w:fill="E7E6E6" w:themeFill="background2"/>
            <w:vAlign w:val="center"/>
          </w:tcPr>
          <w:p w14:paraId="47994D1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5,2</w:t>
            </w:r>
          </w:p>
        </w:tc>
      </w:tr>
      <w:tr w:rsidR="00AF66BB" w:rsidRPr="007D3D4F" w14:paraId="2E8E8619" w14:textId="77777777" w:rsidTr="00C309C6">
        <w:trPr>
          <w:trHeight w:val="137"/>
          <w:jc w:val="center"/>
        </w:trPr>
        <w:tc>
          <w:tcPr>
            <w:tcW w:w="2651" w:type="pct"/>
            <w:shd w:val="clear" w:color="auto" w:fill="E7E6E6" w:themeFill="background2"/>
            <w:vAlign w:val="center"/>
          </w:tcPr>
          <w:p w14:paraId="53EBEB5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infrastructură drumuri comunale și stradale în localitatea Turcoaia, județul Tulcea Etapa II</w:t>
            </w:r>
          </w:p>
        </w:tc>
        <w:tc>
          <w:tcPr>
            <w:tcW w:w="864" w:type="pct"/>
            <w:shd w:val="clear" w:color="auto" w:fill="E7E6E6" w:themeFill="background2"/>
          </w:tcPr>
          <w:p w14:paraId="1CB05F5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35476F2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3" w:type="pct"/>
            <w:shd w:val="clear" w:color="auto" w:fill="E7E6E6" w:themeFill="background2"/>
            <w:vAlign w:val="center"/>
          </w:tcPr>
          <w:p w14:paraId="10808C2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8,7</w:t>
            </w:r>
          </w:p>
        </w:tc>
      </w:tr>
      <w:tr w:rsidR="00AF66BB" w:rsidRPr="007D3D4F" w14:paraId="54A93C15" w14:textId="77777777" w:rsidTr="00C309C6">
        <w:trPr>
          <w:trHeight w:val="137"/>
          <w:jc w:val="center"/>
        </w:trPr>
        <w:tc>
          <w:tcPr>
            <w:tcW w:w="2651" w:type="pct"/>
            <w:shd w:val="clear" w:color="auto" w:fill="E7E6E6" w:themeFill="background2"/>
            <w:vAlign w:val="center"/>
          </w:tcPr>
          <w:p w14:paraId="2CBB2834"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străzi în sat Agighiol</w:t>
            </w:r>
          </w:p>
        </w:tc>
        <w:tc>
          <w:tcPr>
            <w:tcW w:w="864" w:type="pct"/>
            <w:shd w:val="clear" w:color="auto" w:fill="E7E6E6" w:themeFill="background2"/>
          </w:tcPr>
          <w:p w14:paraId="2302126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2189E10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3" w:type="pct"/>
            <w:shd w:val="clear" w:color="auto" w:fill="E7E6E6" w:themeFill="background2"/>
            <w:vAlign w:val="center"/>
          </w:tcPr>
          <w:p w14:paraId="41898B1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11,2</w:t>
            </w:r>
          </w:p>
        </w:tc>
      </w:tr>
      <w:tr w:rsidR="00AF66BB" w:rsidRPr="007D3D4F" w14:paraId="0113E4C2" w14:textId="77777777" w:rsidTr="00C309C6">
        <w:trPr>
          <w:trHeight w:val="137"/>
          <w:jc w:val="center"/>
        </w:trPr>
        <w:tc>
          <w:tcPr>
            <w:tcW w:w="2651" w:type="pct"/>
            <w:shd w:val="clear" w:color="auto" w:fill="E7E6E6" w:themeFill="background2"/>
            <w:vAlign w:val="center"/>
          </w:tcPr>
          <w:p w14:paraId="7B72C5D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infrastructură rutieră satul Agighiol</w:t>
            </w:r>
          </w:p>
        </w:tc>
        <w:tc>
          <w:tcPr>
            <w:tcW w:w="864" w:type="pct"/>
            <w:shd w:val="clear" w:color="auto" w:fill="E7E6E6" w:themeFill="background2"/>
          </w:tcPr>
          <w:p w14:paraId="7D1CF5F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5B14E05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14.406.304</w:t>
            </w:r>
          </w:p>
        </w:tc>
        <w:tc>
          <w:tcPr>
            <w:tcW w:w="743" w:type="pct"/>
            <w:shd w:val="clear" w:color="auto" w:fill="E7E6E6" w:themeFill="background2"/>
            <w:vAlign w:val="center"/>
          </w:tcPr>
          <w:p w14:paraId="4AF055A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11,8</w:t>
            </w:r>
          </w:p>
        </w:tc>
      </w:tr>
      <w:tr w:rsidR="00AF66BB" w:rsidRPr="007D3D4F" w14:paraId="493E26DA" w14:textId="77777777" w:rsidTr="00C309C6">
        <w:trPr>
          <w:trHeight w:val="137"/>
          <w:jc w:val="center"/>
        </w:trPr>
        <w:tc>
          <w:tcPr>
            <w:tcW w:w="2651" w:type="pct"/>
            <w:shd w:val="clear" w:color="auto" w:fill="E7E6E6" w:themeFill="background2"/>
            <w:vAlign w:val="center"/>
          </w:tcPr>
          <w:p w14:paraId="733B9335"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drumuri comunale în comuna Casimcea, județul Tulcea</w:t>
            </w:r>
          </w:p>
        </w:tc>
        <w:tc>
          <w:tcPr>
            <w:tcW w:w="864" w:type="pct"/>
            <w:shd w:val="clear" w:color="auto" w:fill="E7E6E6" w:themeFill="background2"/>
          </w:tcPr>
          <w:p w14:paraId="4F8B42F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2C9462D5"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14.085.699</w:t>
            </w:r>
          </w:p>
        </w:tc>
        <w:tc>
          <w:tcPr>
            <w:tcW w:w="743" w:type="pct"/>
            <w:shd w:val="clear" w:color="auto" w:fill="E7E6E6" w:themeFill="background2"/>
            <w:vAlign w:val="center"/>
          </w:tcPr>
          <w:p w14:paraId="53A0573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8,9</w:t>
            </w:r>
          </w:p>
        </w:tc>
      </w:tr>
      <w:tr w:rsidR="00AF66BB" w:rsidRPr="007D3D4F" w14:paraId="388ECDF3" w14:textId="77777777" w:rsidTr="00C309C6">
        <w:trPr>
          <w:trHeight w:val="137"/>
          <w:jc w:val="center"/>
        </w:trPr>
        <w:tc>
          <w:tcPr>
            <w:tcW w:w="2651" w:type="pct"/>
            <w:shd w:val="clear" w:color="auto" w:fill="E7E6E6" w:themeFill="background2"/>
            <w:vAlign w:val="center"/>
          </w:tcPr>
          <w:p w14:paraId="7065658A"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Modernizarea străzilor din localitatea Neatârnarea, comuna Beidaud, județul Tulcea</w:t>
            </w:r>
          </w:p>
        </w:tc>
        <w:tc>
          <w:tcPr>
            <w:tcW w:w="864" w:type="pct"/>
            <w:shd w:val="clear" w:color="auto" w:fill="E7E6E6" w:themeFill="background2"/>
          </w:tcPr>
          <w:p w14:paraId="7CF551F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6A578F0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14.056.573</w:t>
            </w:r>
          </w:p>
        </w:tc>
        <w:tc>
          <w:tcPr>
            <w:tcW w:w="743" w:type="pct"/>
            <w:shd w:val="clear" w:color="auto" w:fill="E7E6E6" w:themeFill="background2"/>
            <w:vAlign w:val="center"/>
          </w:tcPr>
          <w:p w14:paraId="3C1624C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9,5</w:t>
            </w:r>
          </w:p>
        </w:tc>
      </w:tr>
      <w:tr w:rsidR="00AF66BB" w:rsidRPr="007D3D4F" w14:paraId="713EEE92" w14:textId="77777777" w:rsidTr="00C309C6">
        <w:trPr>
          <w:trHeight w:val="137"/>
          <w:jc w:val="center"/>
        </w:trPr>
        <w:tc>
          <w:tcPr>
            <w:tcW w:w="2651" w:type="pct"/>
            <w:shd w:val="clear" w:color="auto" w:fill="E7E6E6" w:themeFill="background2"/>
            <w:vAlign w:val="center"/>
          </w:tcPr>
          <w:p w14:paraId="597FB85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în localitatea Mihail Kogălniceanu, comuna Mihail Kogălniceanu, județul Tulcea</w:t>
            </w:r>
          </w:p>
        </w:tc>
        <w:tc>
          <w:tcPr>
            <w:tcW w:w="864" w:type="pct"/>
            <w:shd w:val="clear" w:color="auto" w:fill="E7E6E6" w:themeFill="background2"/>
          </w:tcPr>
          <w:p w14:paraId="13CF01D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0786B66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11.722.420</w:t>
            </w:r>
          </w:p>
        </w:tc>
        <w:tc>
          <w:tcPr>
            <w:tcW w:w="743" w:type="pct"/>
            <w:shd w:val="clear" w:color="auto" w:fill="E7E6E6" w:themeFill="background2"/>
            <w:vAlign w:val="center"/>
          </w:tcPr>
          <w:p w14:paraId="56115035"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7,3</w:t>
            </w:r>
          </w:p>
        </w:tc>
      </w:tr>
    </w:tbl>
    <w:p w14:paraId="165357C5"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165AD671"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9 proiecte contractate au o valoare individuală de 10 milioane lei, totalizând 90 milioane lei. Acestea vizează modernizarea a aproximativ 72 km de drumuri în comune precum Chilia Veche, Crișan, Horia, Izvoarele, Peceneaga, Stejaru și Valea Teilor, acoperind inclusiv lucrări de alei pietonale și sisteme de evacuare a apelor pluviale.</w:t>
      </w:r>
    </w:p>
    <w:p w14:paraId="35E17788" w14:textId="7D2AC634"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56</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contractate în Județul Tulcea cu o valoare de 10.000.000 lei prin Programul Național Anghel Saligny</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ayout w:type="fixed"/>
        <w:tblLook w:val="04A0" w:firstRow="1" w:lastRow="0" w:firstColumn="1" w:lastColumn="0" w:noHBand="0" w:noVBand="1"/>
      </w:tblPr>
      <w:tblGrid>
        <w:gridCol w:w="4953"/>
        <w:gridCol w:w="1615"/>
        <w:gridCol w:w="1389"/>
        <w:gridCol w:w="1387"/>
      </w:tblGrid>
      <w:tr w:rsidR="00AF66BB" w:rsidRPr="007D3D4F" w14:paraId="774C9221" w14:textId="77777777" w:rsidTr="00C309C6">
        <w:trPr>
          <w:tblHeader/>
          <w:jc w:val="center"/>
        </w:trPr>
        <w:tc>
          <w:tcPr>
            <w:tcW w:w="2651" w:type="pct"/>
            <w:shd w:val="clear" w:color="auto" w:fill="3B3838" w:themeFill="background2" w:themeFillShade="40"/>
            <w:vAlign w:val="center"/>
          </w:tcPr>
          <w:p w14:paraId="25B3650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864" w:type="pct"/>
            <w:shd w:val="clear" w:color="auto" w:fill="3B3838" w:themeFill="background2" w:themeFillShade="40"/>
            <w:vAlign w:val="center"/>
          </w:tcPr>
          <w:p w14:paraId="6E36FE4D"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743" w:type="pct"/>
            <w:shd w:val="clear" w:color="auto" w:fill="3B3838" w:themeFill="background2" w:themeFillShade="40"/>
            <w:vAlign w:val="center"/>
          </w:tcPr>
          <w:p w14:paraId="4EC6C47C"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c>
          <w:tcPr>
            <w:tcW w:w="742" w:type="pct"/>
            <w:shd w:val="clear" w:color="auto" w:fill="3B3838" w:themeFill="background2" w:themeFillShade="40"/>
            <w:vAlign w:val="center"/>
          </w:tcPr>
          <w:p w14:paraId="3A6CB445"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Nr. km modernizați</w:t>
            </w:r>
          </w:p>
        </w:tc>
      </w:tr>
      <w:tr w:rsidR="00AF66BB" w:rsidRPr="007D3D4F" w14:paraId="36D0D474" w14:textId="77777777" w:rsidTr="00C309C6">
        <w:trPr>
          <w:trHeight w:val="137"/>
          <w:jc w:val="center"/>
        </w:trPr>
        <w:tc>
          <w:tcPr>
            <w:tcW w:w="2651" w:type="pct"/>
            <w:shd w:val="clear" w:color="auto" w:fill="E7E6E6" w:themeFill="background2"/>
            <w:vAlign w:val="center"/>
          </w:tcPr>
          <w:p w14:paraId="4F8EFEB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drumuri de interes local în comuna Chilia Veche, județul Tulcea</w:t>
            </w:r>
          </w:p>
        </w:tc>
        <w:tc>
          <w:tcPr>
            <w:tcW w:w="864" w:type="pct"/>
            <w:shd w:val="clear" w:color="auto" w:fill="E7E6E6" w:themeFill="background2"/>
            <w:vAlign w:val="center"/>
          </w:tcPr>
          <w:p w14:paraId="3BCF712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2034AC81"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10.000.000</w:t>
            </w:r>
          </w:p>
        </w:tc>
        <w:tc>
          <w:tcPr>
            <w:tcW w:w="742" w:type="pct"/>
            <w:shd w:val="clear" w:color="auto" w:fill="E7E6E6" w:themeFill="background2"/>
            <w:vAlign w:val="center"/>
          </w:tcPr>
          <w:p w14:paraId="1FCA815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8,3</w:t>
            </w:r>
          </w:p>
        </w:tc>
      </w:tr>
      <w:tr w:rsidR="00AF66BB" w:rsidRPr="007D3D4F" w14:paraId="2C159E91" w14:textId="77777777" w:rsidTr="00C309C6">
        <w:trPr>
          <w:trHeight w:val="137"/>
          <w:jc w:val="center"/>
        </w:trPr>
        <w:tc>
          <w:tcPr>
            <w:tcW w:w="2651" w:type="pct"/>
            <w:shd w:val="clear" w:color="auto" w:fill="E7E6E6" w:themeFill="background2"/>
            <w:vAlign w:val="center"/>
          </w:tcPr>
          <w:p w14:paraId="0473248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tronson I aferent DC7 și drumuri stradale în comuna Crișan, județul Tulcea</w:t>
            </w:r>
          </w:p>
        </w:tc>
        <w:tc>
          <w:tcPr>
            <w:tcW w:w="864" w:type="pct"/>
            <w:shd w:val="clear" w:color="auto" w:fill="E7E6E6" w:themeFill="background2"/>
            <w:vAlign w:val="center"/>
          </w:tcPr>
          <w:p w14:paraId="504E413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6527B3F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10.000.000</w:t>
            </w:r>
          </w:p>
        </w:tc>
        <w:tc>
          <w:tcPr>
            <w:tcW w:w="742" w:type="pct"/>
            <w:shd w:val="clear" w:color="auto" w:fill="E7E6E6" w:themeFill="background2"/>
            <w:vAlign w:val="center"/>
          </w:tcPr>
          <w:p w14:paraId="3F2FE94A"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7,8</w:t>
            </w:r>
          </w:p>
        </w:tc>
      </w:tr>
      <w:tr w:rsidR="00AF66BB" w:rsidRPr="007D3D4F" w14:paraId="232C443C" w14:textId="77777777" w:rsidTr="00C309C6">
        <w:trPr>
          <w:trHeight w:val="137"/>
          <w:jc w:val="center"/>
        </w:trPr>
        <w:tc>
          <w:tcPr>
            <w:tcW w:w="2651" w:type="pct"/>
            <w:shd w:val="clear" w:color="auto" w:fill="E7E6E6" w:themeFill="background2"/>
            <w:vAlign w:val="center"/>
          </w:tcPr>
          <w:p w14:paraId="5470DC9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străzi, modernizare alei pietonale și accese la proprietăți în sat Horia, comuna Horia, județul Tulcea</w:t>
            </w:r>
          </w:p>
        </w:tc>
        <w:tc>
          <w:tcPr>
            <w:tcW w:w="864" w:type="pct"/>
            <w:shd w:val="clear" w:color="auto" w:fill="E7E6E6" w:themeFill="background2"/>
            <w:vAlign w:val="center"/>
          </w:tcPr>
          <w:p w14:paraId="08CC7F3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2839A824"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10.000.000</w:t>
            </w:r>
          </w:p>
        </w:tc>
        <w:tc>
          <w:tcPr>
            <w:tcW w:w="742" w:type="pct"/>
            <w:shd w:val="clear" w:color="auto" w:fill="E7E6E6" w:themeFill="background2"/>
            <w:vAlign w:val="center"/>
          </w:tcPr>
          <w:p w14:paraId="46F43F4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w:t>
            </w:r>
          </w:p>
        </w:tc>
      </w:tr>
      <w:tr w:rsidR="00AF66BB" w:rsidRPr="007D3D4F" w14:paraId="01AC293A" w14:textId="77777777" w:rsidTr="00C309C6">
        <w:trPr>
          <w:trHeight w:val="137"/>
          <w:jc w:val="center"/>
        </w:trPr>
        <w:tc>
          <w:tcPr>
            <w:tcW w:w="2651" w:type="pct"/>
            <w:shd w:val="clear" w:color="auto" w:fill="E7E6E6" w:themeFill="background2"/>
            <w:vAlign w:val="center"/>
          </w:tcPr>
          <w:p w14:paraId="7442898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în sat Iulia, comuna Izvoarele, județul Tulcea</w:t>
            </w:r>
          </w:p>
        </w:tc>
        <w:tc>
          <w:tcPr>
            <w:tcW w:w="864" w:type="pct"/>
            <w:shd w:val="clear" w:color="auto" w:fill="E7E6E6" w:themeFill="background2"/>
            <w:vAlign w:val="center"/>
          </w:tcPr>
          <w:p w14:paraId="37A3418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0D14F21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10.000.000</w:t>
            </w:r>
          </w:p>
        </w:tc>
        <w:tc>
          <w:tcPr>
            <w:tcW w:w="742" w:type="pct"/>
            <w:shd w:val="clear" w:color="auto" w:fill="E7E6E6" w:themeFill="background2"/>
            <w:vAlign w:val="center"/>
          </w:tcPr>
          <w:p w14:paraId="779747D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7,2</w:t>
            </w:r>
          </w:p>
        </w:tc>
      </w:tr>
      <w:tr w:rsidR="00AF66BB" w:rsidRPr="007D3D4F" w14:paraId="69ED1B9A" w14:textId="77777777" w:rsidTr="00C309C6">
        <w:trPr>
          <w:trHeight w:val="137"/>
          <w:jc w:val="center"/>
        </w:trPr>
        <w:tc>
          <w:tcPr>
            <w:tcW w:w="2651" w:type="pct"/>
            <w:shd w:val="clear" w:color="auto" w:fill="E7E6E6" w:themeFill="background2"/>
            <w:vAlign w:val="center"/>
          </w:tcPr>
          <w:p w14:paraId="44B63E0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în sat Alba, comuna Izvoarele, județul Tulcea</w:t>
            </w:r>
          </w:p>
        </w:tc>
        <w:tc>
          <w:tcPr>
            <w:tcW w:w="864" w:type="pct"/>
            <w:shd w:val="clear" w:color="auto" w:fill="E7E6E6" w:themeFill="background2"/>
            <w:vAlign w:val="center"/>
          </w:tcPr>
          <w:p w14:paraId="1E75A57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22590BA4"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10.000.000</w:t>
            </w:r>
          </w:p>
        </w:tc>
        <w:tc>
          <w:tcPr>
            <w:tcW w:w="742" w:type="pct"/>
            <w:shd w:val="clear" w:color="auto" w:fill="E7E6E6" w:themeFill="background2"/>
            <w:vAlign w:val="center"/>
          </w:tcPr>
          <w:p w14:paraId="4D20446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6,4</w:t>
            </w:r>
          </w:p>
        </w:tc>
      </w:tr>
      <w:tr w:rsidR="00AF66BB" w:rsidRPr="007D3D4F" w14:paraId="6662BC36" w14:textId="77777777" w:rsidTr="00C309C6">
        <w:trPr>
          <w:trHeight w:val="137"/>
          <w:jc w:val="center"/>
        </w:trPr>
        <w:tc>
          <w:tcPr>
            <w:tcW w:w="2651" w:type="pct"/>
            <w:shd w:val="clear" w:color="auto" w:fill="E7E6E6" w:themeFill="background2"/>
            <w:vAlign w:val="center"/>
          </w:tcPr>
          <w:p w14:paraId="4848CA45"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lastRenderedPageBreak/>
              <w:t>Modernizare străzi, alei pietonale și dispozitive de scurgere a apelor în comuna Peceneaga, județul Tulcea</w:t>
            </w:r>
          </w:p>
        </w:tc>
        <w:tc>
          <w:tcPr>
            <w:tcW w:w="864" w:type="pct"/>
            <w:shd w:val="clear" w:color="auto" w:fill="E7E6E6" w:themeFill="background2"/>
            <w:vAlign w:val="center"/>
          </w:tcPr>
          <w:p w14:paraId="2B84A56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1ACAA00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10.000.000</w:t>
            </w:r>
          </w:p>
        </w:tc>
        <w:tc>
          <w:tcPr>
            <w:tcW w:w="742" w:type="pct"/>
            <w:shd w:val="clear" w:color="auto" w:fill="E7E6E6" w:themeFill="background2"/>
            <w:vAlign w:val="center"/>
          </w:tcPr>
          <w:p w14:paraId="6A69580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5,4</w:t>
            </w:r>
          </w:p>
        </w:tc>
      </w:tr>
      <w:tr w:rsidR="00AF66BB" w:rsidRPr="007D3D4F" w14:paraId="42EF0A49" w14:textId="77777777" w:rsidTr="00C309C6">
        <w:trPr>
          <w:trHeight w:val="137"/>
          <w:jc w:val="center"/>
        </w:trPr>
        <w:tc>
          <w:tcPr>
            <w:tcW w:w="2651" w:type="pct"/>
            <w:shd w:val="clear" w:color="auto" w:fill="E7E6E6" w:themeFill="background2"/>
            <w:vAlign w:val="center"/>
          </w:tcPr>
          <w:p w14:paraId="74DB623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în comuna Stejaru, județul Tulcea</w:t>
            </w:r>
          </w:p>
        </w:tc>
        <w:tc>
          <w:tcPr>
            <w:tcW w:w="864" w:type="pct"/>
            <w:shd w:val="clear" w:color="auto" w:fill="E7E6E6" w:themeFill="background2"/>
            <w:vAlign w:val="center"/>
          </w:tcPr>
          <w:p w14:paraId="1F54E3A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16AF4721"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10.000.000</w:t>
            </w:r>
          </w:p>
        </w:tc>
        <w:tc>
          <w:tcPr>
            <w:tcW w:w="742" w:type="pct"/>
            <w:shd w:val="clear" w:color="auto" w:fill="E7E6E6" w:themeFill="background2"/>
            <w:vAlign w:val="center"/>
          </w:tcPr>
          <w:p w14:paraId="5D488A5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9,7</w:t>
            </w:r>
          </w:p>
        </w:tc>
      </w:tr>
      <w:tr w:rsidR="00AF66BB" w:rsidRPr="007D3D4F" w14:paraId="4410A928" w14:textId="77777777" w:rsidTr="00C309C6">
        <w:trPr>
          <w:trHeight w:val="137"/>
          <w:jc w:val="center"/>
        </w:trPr>
        <w:tc>
          <w:tcPr>
            <w:tcW w:w="2651" w:type="pct"/>
            <w:shd w:val="clear" w:color="auto" w:fill="E7E6E6" w:themeFill="background2"/>
            <w:vAlign w:val="center"/>
          </w:tcPr>
          <w:p w14:paraId="676A699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Reabilitare drumuri în localitatea Valea Teilor, comuna Valea Teilor, Județul Tulcea</w:t>
            </w:r>
          </w:p>
        </w:tc>
        <w:tc>
          <w:tcPr>
            <w:tcW w:w="864" w:type="pct"/>
            <w:shd w:val="clear" w:color="auto" w:fill="E7E6E6" w:themeFill="background2"/>
            <w:vAlign w:val="center"/>
          </w:tcPr>
          <w:p w14:paraId="78617BE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4EDA3F2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10.000.000</w:t>
            </w:r>
          </w:p>
        </w:tc>
        <w:tc>
          <w:tcPr>
            <w:tcW w:w="742" w:type="pct"/>
            <w:shd w:val="clear" w:color="auto" w:fill="E7E6E6" w:themeFill="background2"/>
            <w:vAlign w:val="center"/>
          </w:tcPr>
          <w:p w14:paraId="25B5A1E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10,2</w:t>
            </w:r>
          </w:p>
        </w:tc>
      </w:tr>
    </w:tbl>
    <w:p w14:paraId="4E362AA3"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0F0E9785"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De asemenea, o categorie importantă de proiecte contractate în județul Tulcea prin Programul Național Anghel Saligny este cea a investițiilor cu valori cuprinse între 5 și 9,99 milioane lei. În total, 12 proiecte din această categorie însumează aproximativ 97,5 milioane lei și vizează modernizarea a peste 95 km de drumuri, contribuind la creșterea accesibilității în localități precum Ceatalchioi, Mahmudia, Luncavița, Niculițel, Partizani, I.C. Brătianu, Vacăreni și chiar în zona est a municipiului Tulcea.</w:t>
      </w:r>
    </w:p>
    <w:p w14:paraId="3DD776CC" w14:textId="15576949"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57</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contractate în Județul Tulcea cu o valoare cuprinsă între 5.000.000 și 9.999.999 lei prin Programul Național Anghel Saligny</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ayout w:type="fixed"/>
        <w:tblLook w:val="04A0" w:firstRow="1" w:lastRow="0" w:firstColumn="1" w:lastColumn="0" w:noHBand="0" w:noVBand="1"/>
      </w:tblPr>
      <w:tblGrid>
        <w:gridCol w:w="4953"/>
        <w:gridCol w:w="1615"/>
        <w:gridCol w:w="1389"/>
        <w:gridCol w:w="1387"/>
      </w:tblGrid>
      <w:tr w:rsidR="00AF66BB" w:rsidRPr="007D3D4F" w14:paraId="1A84A86D" w14:textId="77777777" w:rsidTr="00C309C6">
        <w:trPr>
          <w:jc w:val="center"/>
        </w:trPr>
        <w:tc>
          <w:tcPr>
            <w:tcW w:w="2651" w:type="pct"/>
            <w:shd w:val="clear" w:color="auto" w:fill="3B3838" w:themeFill="background2" w:themeFillShade="40"/>
            <w:vAlign w:val="center"/>
          </w:tcPr>
          <w:p w14:paraId="0DF553C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864" w:type="pct"/>
            <w:shd w:val="clear" w:color="auto" w:fill="3B3838" w:themeFill="background2" w:themeFillShade="40"/>
            <w:vAlign w:val="center"/>
          </w:tcPr>
          <w:p w14:paraId="179B500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743" w:type="pct"/>
            <w:shd w:val="clear" w:color="auto" w:fill="3B3838" w:themeFill="background2" w:themeFillShade="40"/>
            <w:vAlign w:val="center"/>
          </w:tcPr>
          <w:p w14:paraId="3C593358"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c>
          <w:tcPr>
            <w:tcW w:w="742" w:type="pct"/>
            <w:shd w:val="clear" w:color="auto" w:fill="3B3838" w:themeFill="background2" w:themeFillShade="40"/>
            <w:vAlign w:val="center"/>
          </w:tcPr>
          <w:p w14:paraId="45138FE9"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Nr. km modernizați</w:t>
            </w:r>
          </w:p>
        </w:tc>
      </w:tr>
      <w:tr w:rsidR="00AF66BB" w:rsidRPr="007D3D4F" w14:paraId="3AF65AC2" w14:textId="77777777" w:rsidTr="00C309C6">
        <w:trPr>
          <w:trHeight w:val="137"/>
          <w:jc w:val="center"/>
        </w:trPr>
        <w:tc>
          <w:tcPr>
            <w:tcW w:w="2651" w:type="pct"/>
            <w:shd w:val="clear" w:color="auto" w:fill="E7E6E6" w:themeFill="background2"/>
            <w:vAlign w:val="center"/>
          </w:tcPr>
          <w:p w14:paraId="6E3E1BB6"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drumuri de interes local în comuna Ceatalchioi</w:t>
            </w:r>
          </w:p>
        </w:tc>
        <w:tc>
          <w:tcPr>
            <w:tcW w:w="864" w:type="pct"/>
            <w:shd w:val="clear" w:color="auto" w:fill="E7E6E6" w:themeFill="background2"/>
            <w:vAlign w:val="center"/>
          </w:tcPr>
          <w:p w14:paraId="5FBA0535"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7E66B84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9.999.184</w:t>
            </w:r>
          </w:p>
        </w:tc>
        <w:tc>
          <w:tcPr>
            <w:tcW w:w="742" w:type="pct"/>
            <w:shd w:val="clear" w:color="auto" w:fill="E7E6E6" w:themeFill="background2"/>
            <w:vAlign w:val="center"/>
          </w:tcPr>
          <w:p w14:paraId="45B7E5C4"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9,4</w:t>
            </w:r>
          </w:p>
        </w:tc>
      </w:tr>
      <w:tr w:rsidR="00AF66BB" w:rsidRPr="007D3D4F" w14:paraId="1658FB48" w14:textId="77777777" w:rsidTr="00C309C6">
        <w:trPr>
          <w:trHeight w:val="137"/>
          <w:jc w:val="center"/>
        </w:trPr>
        <w:tc>
          <w:tcPr>
            <w:tcW w:w="2651" w:type="pct"/>
            <w:shd w:val="clear" w:color="auto" w:fill="E7E6E6" w:themeFill="background2"/>
            <w:vAlign w:val="center"/>
          </w:tcPr>
          <w:p w14:paraId="1804940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alei pietonale în comuna Mahmudia, județul Tulcea</w:t>
            </w:r>
          </w:p>
        </w:tc>
        <w:tc>
          <w:tcPr>
            <w:tcW w:w="864" w:type="pct"/>
            <w:shd w:val="clear" w:color="auto" w:fill="E7E6E6" w:themeFill="background2"/>
            <w:vAlign w:val="center"/>
          </w:tcPr>
          <w:p w14:paraId="02B08CD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4A16FC73"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9.883.561</w:t>
            </w:r>
          </w:p>
        </w:tc>
        <w:tc>
          <w:tcPr>
            <w:tcW w:w="742" w:type="pct"/>
            <w:shd w:val="clear" w:color="auto" w:fill="E7E6E6" w:themeFill="background2"/>
            <w:vAlign w:val="center"/>
          </w:tcPr>
          <w:p w14:paraId="6EDFAF6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8,9</w:t>
            </w:r>
          </w:p>
        </w:tc>
      </w:tr>
      <w:tr w:rsidR="00AF66BB" w:rsidRPr="007D3D4F" w14:paraId="6240409C" w14:textId="77777777" w:rsidTr="00C309C6">
        <w:trPr>
          <w:trHeight w:val="137"/>
          <w:jc w:val="center"/>
        </w:trPr>
        <w:tc>
          <w:tcPr>
            <w:tcW w:w="2651" w:type="pct"/>
            <w:shd w:val="clear" w:color="auto" w:fill="E7E6E6" w:themeFill="background2"/>
            <w:vAlign w:val="center"/>
          </w:tcPr>
          <w:p w14:paraId="6EACAC2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Reabilitare Pod peste canal Mila 36 pe DJ 222N, km 34+178</w:t>
            </w:r>
          </w:p>
        </w:tc>
        <w:tc>
          <w:tcPr>
            <w:tcW w:w="864" w:type="pct"/>
            <w:shd w:val="clear" w:color="auto" w:fill="E7E6E6" w:themeFill="background2"/>
            <w:vAlign w:val="center"/>
          </w:tcPr>
          <w:p w14:paraId="7156554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181336BA"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9.201.171</w:t>
            </w:r>
          </w:p>
        </w:tc>
        <w:tc>
          <w:tcPr>
            <w:tcW w:w="742" w:type="pct"/>
            <w:shd w:val="clear" w:color="auto" w:fill="E7E6E6" w:themeFill="background2"/>
            <w:vAlign w:val="center"/>
          </w:tcPr>
          <w:p w14:paraId="342749A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w:t>
            </w:r>
          </w:p>
        </w:tc>
      </w:tr>
      <w:tr w:rsidR="00AF66BB" w:rsidRPr="007D3D4F" w14:paraId="5952C514" w14:textId="77777777" w:rsidTr="00C309C6">
        <w:trPr>
          <w:trHeight w:val="137"/>
          <w:jc w:val="center"/>
        </w:trPr>
        <w:tc>
          <w:tcPr>
            <w:tcW w:w="2651" w:type="pct"/>
            <w:shd w:val="clear" w:color="auto" w:fill="E7E6E6" w:themeFill="background2"/>
            <w:vAlign w:val="center"/>
          </w:tcPr>
          <w:p w14:paraId="55FB976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în localitatea Văcăreni, județul Tulcea</w:t>
            </w:r>
          </w:p>
        </w:tc>
        <w:tc>
          <w:tcPr>
            <w:tcW w:w="864" w:type="pct"/>
            <w:shd w:val="clear" w:color="auto" w:fill="E7E6E6" w:themeFill="background2"/>
            <w:vAlign w:val="center"/>
          </w:tcPr>
          <w:p w14:paraId="2FED535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3EA31E8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9.009.797</w:t>
            </w:r>
          </w:p>
        </w:tc>
        <w:tc>
          <w:tcPr>
            <w:tcW w:w="742" w:type="pct"/>
            <w:shd w:val="clear" w:color="auto" w:fill="E7E6E6" w:themeFill="background2"/>
            <w:vAlign w:val="center"/>
          </w:tcPr>
          <w:p w14:paraId="12D6E66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6,2</w:t>
            </w:r>
          </w:p>
        </w:tc>
      </w:tr>
      <w:tr w:rsidR="00AF66BB" w:rsidRPr="007D3D4F" w14:paraId="5CF23E39" w14:textId="77777777" w:rsidTr="00C309C6">
        <w:trPr>
          <w:trHeight w:val="137"/>
          <w:jc w:val="center"/>
        </w:trPr>
        <w:tc>
          <w:tcPr>
            <w:tcW w:w="2651" w:type="pct"/>
            <w:shd w:val="clear" w:color="auto" w:fill="E7E6E6" w:themeFill="background2"/>
            <w:vAlign w:val="center"/>
          </w:tcPr>
          <w:p w14:paraId="575F762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de interes local în comuna I.C. Brătianu, Tulcea</w:t>
            </w:r>
          </w:p>
        </w:tc>
        <w:tc>
          <w:tcPr>
            <w:tcW w:w="864" w:type="pct"/>
            <w:shd w:val="clear" w:color="auto" w:fill="E7E6E6" w:themeFill="background2"/>
            <w:vAlign w:val="center"/>
          </w:tcPr>
          <w:p w14:paraId="04452AA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6C82637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9.009.333</w:t>
            </w:r>
          </w:p>
        </w:tc>
        <w:tc>
          <w:tcPr>
            <w:tcW w:w="742" w:type="pct"/>
            <w:shd w:val="clear" w:color="auto" w:fill="E7E6E6" w:themeFill="background2"/>
            <w:vAlign w:val="center"/>
          </w:tcPr>
          <w:p w14:paraId="612ED6C5"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5,2</w:t>
            </w:r>
          </w:p>
        </w:tc>
      </w:tr>
      <w:tr w:rsidR="00AF66BB" w:rsidRPr="007D3D4F" w14:paraId="7AC0074E" w14:textId="77777777" w:rsidTr="00C309C6">
        <w:trPr>
          <w:trHeight w:val="137"/>
          <w:jc w:val="center"/>
        </w:trPr>
        <w:tc>
          <w:tcPr>
            <w:tcW w:w="2651" w:type="pct"/>
            <w:shd w:val="clear" w:color="auto" w:fill="E7E6E6" w:themeFill="background2"/>
            <w:vAlign w:val="center"/>
          </w:tcPr>
          <w:p w14:paraId="5449F7C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în localitatea Niculițel, județul Tulcea</w:t>
            </w:r>
          </w:p>
        </w:tc>
        <w:tc>
          <w:tcPr>
            <w:tcW w:w="864" w:type="pct"/>
            <w:shd w:val="clear" w:color="auto" w:fill="E7E6E6" w:themeFill="background2"/>
            <w:vAlign w:val="center"/>
          </w:tcPr>
          <w:p w14:paraId="34B497A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0F2A477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8.069.273</w:t>
            </w:r>
          </w:p>
        </w:tc>
        <w:tc>
          <w:tcPr>
            <w:tcW w:w="742" w:type="pct"/>
            <w:shd w:val="clear" w:color="auto" w:fill="E7E6E6" w:themeFill="background2"/>
            <w:vAlign w:val="center"/>
          </w:tcPr>
          <w:p w14:paraId="6403A43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5,2</w:t>
            </w:r>
          </w:p>
        </w:tc>
      </w:tr>
      <w:tr w:rsidR="00AF66BB" w:rsidRPr="007D3D4F" w14:paraId="30C76B21" w14:textId="77777777" w:rsidTr="00C309C6">
        <w:trPr>
          <w:trHeight w:val="137"/>
          <w:jc w:val="center"/>
        </w:trPr>
        <w:tc>
          <w:tcPr>
            <w:tcW w:w="2651" w:type="pct"/>
            <w:shd w:val="clear" w:color="auto" w:fill="E7E6E6" w:themeFill="background2"/>
            <w:vAlign w:val="center"/>
          </w:tcPr>
          <w:p w14:paraId="33E52B0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Asfaltare străzi de interes local, comuna Pardina, județul Tulcea</w:t>
            </w:r>
          </w:p>
        </w:tc>
        <w:tc>
          <w:tcPr>
            <w:tcW w:w="864" w:type="pct"/>
            <w:shd w:val="clear" w:color="auto" w:fill="E7E6E6" w:themeFill="background2"/>
            <w:vAlign w:val="center"/>
          </w:tcPr>
          <w:p w14:paraId="79B18B54"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2B3B0E2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6.762.212</w:t>
            </w:r>
          </w:p>
        </w:tc>
        <w:tc>
          <w:tcPr>
            <w:tcW w:w="742" w:type="pct"/>
            <w:shd w:val="clear" w:color="auto" w:fill="E7E6E6" w:themeFill="background2"/>
            <w:vAlign w:val="center"/>
          </w:tcPr>
          <w:p w14:paraId="139AB2B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3,7</w:t>
            </w:r>
          </w:p>
        </w:tc>
      </w:tr>
      <w:tr w:rsidR="00AF66BB" w:rsidRPr="007D3D4F" w14:paraId="4E79E472" w14:textId="77777777" w:rsidTr="00C309C6">
        <w:trPr>
          <w:trHeight w:val="137"/>
          <w:jc w:val="center"/>
        </w:trPr>
        <w:tc>
          <w:tcPr>
            <w:tcW w:w="2651" w:type="pct"/>
            <w:shd w:val="clear" w:color="auto" w:fill="E7E6E6" w:themeFill="background2"/>
            <w:vAlign w:val="center"/>
          </w:tcPr>
          <w:p w14:paraId="6D65977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Construire variantă ocolitoare în localitatea Luncavița, județul Tulcea</w:t>
            </w:r>
          </w:p>
        </w:tc>
        <w:tc>
          <w:tcPr>
            <w:tcW w:w="864" w:type="pct"/>
            <w:shd w:val="clear" w:color="auto" w:fill="E7E6E6" w:themeFill="background2"/>
            <w:vAlign w:val="center"/>
          </w:tcPr>
          <w:p w14:paraId="6D71BA0D"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3EFB798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6.564.369</w:t>
            </w:r>
          </w:p>
        </w:tc>
        <w:tc>
          <w:tcPr>
            <w:tcW w:w="742" w:type="pct"/>
            <w:shd w:val="clear" w:color="auto" w:fill="E7E6E6" w:themeFill="background2"/>
            <w:vAlign w:val="center"/>
          </w:tcPr>
          <w:p w14:paraId="50725D8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w:t>
            </w:r>
          </w:p>
        </w:tc>
      </w:tr>
      <w:tr w:rsidR="00AF66BB" w:rsidRPr="007D3D4F" w14:paraId="77DD4BD6" w14:textId="77777777" w:rsidTr="00C309C6">
        <w:trPr>
          <w:trHeight w:val="137"/>
          <w:jc w:val="center"/>
        </w:trPr>
        <w:tc>
          <w:tcPr>
            <w:tcW w:w="2651" w:type="pct"/>
            <w:shd w:val="clear" w:color="auto" w:fill="E7E6E6" w:themeFill="background2"/>
            <w:vAlign w:val="center"/>
          </w:tcPr>
          <w:p w14:paraId="353DC74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Reabilitare și modernizare străzi municipiul Tulcea zona est etapa 1</w:t>
            </w:r>
          </w:p>
        </w:tc>
        <w:tc>
          <w:tcPr>
            <w:tcW w:w="864" w:type="pct"/>
            <w:shd w:val="clear" w:color="auto" w:fill="E7E6E6" w:themeFill="background2"/>
            <w:vAlign w:val="center"/>
          </w:tcPr>
          <w:p w14:paraId="1E139F4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71D32E01"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6.342.518</w:t>
            </w:r>
          </w:p>
        </w:tc>
        <w:tc>
          <w:tcPr>
            <w:tcW w:w="742" w:type="pct"/>
            <w:shd w:val="clear" w:color="auto" w:fill="E7E6E6" w:themeFill="background2"/>
            <w:vAlign w:val="center"/>
          </w:tcPr>
          <w:p w14:paraId="4D98BED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8,2</w:t>
            </w:r>
          </w:p>
        </w:tc>
      </w:tr>
      <w:tr w:rsidR="00AF66BB" w:rsidRPr="007D3D4F" w14:paraId="3CC8F532" w14:textId="77777777" w:rsidTr="00C309C6">
        <w:trPr>
          <w:trHeight w:val="137"/>
          <w:jc w:val="center"/>
        </w:trPr>
        <w:tc>
          <w:tcPr>
            <w:tcW w:w="2651" w:type="pct"/>
            <w:shd w:val="clear" w:color="auto" w:fill="E7E6E6" w:themeFill="background2"/>
            <w:vAlign w:val="center"/>
          </w:tcPr>
          <w:p w14:paraId="7FB350D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de interes local în localitatea Partizani</w:t>
            </w:r>
          </w:p>
        </w:tc>
        <w:tc>
          <w:tcPr>
            <w:tcW w:w="864" w:type="pct"/>
            <w:shd w:val="clear" w:color="auto" w:fill="E7E6E6" w:themeFill="background2"/>
            <w:vAlign w:val="center"/>
          </w:tcPr>
          <w:p w14:paraId="1D3245D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2CAF1AC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6.269.293</w:t>
            </w:r>
          </w:p>
        </w:tc>
        <w:tc>
          <w:tcPr>
            <w:tcW w:w="742" w:type="pct"/>
            <w:shd w:val="clear" w:color="auto" w:fill="E7E6E6" w:themeFill="background2"/>
            <w:vAlign w:val="center"/>
          </w:tcPr>
          <w:p w14:paraId="54A443C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4,5</w:t>
            </w:r>
          </w:p>
        </w:tc>
      </w:tr>
      <w:tr w:rsidR="00AF66BB" w:rsidRPr="007D3D4F" w14:paraId="6A9036E2" w14:textId="77777777" w:rsidTr="00C309C6">
        <w:trPr>
          <w:trHeight w:val="137"/>
          <w:jc w:val="center"/>
        </w:trPr>
        <w:tc>
          <w:tcPr>
            <w:tcW w:w="2651" w:type="pct"/>
            <w:shd w:val="clear" w:color="auto" w:fill="E7E6E6" w:themeFill="background2"/>
            <w:vAlign w:val="center"/>
          </w:tcPr>
          <w:p w14:paraId="04735915"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 comunal DC 2, C.A. Rosetti-Cardon, tronson 1 = 3.710 m, comuna C.A. Rosetti, județul Tulcea</w:t>
            </w:r>
          </w:p>
        </w:tc>
        <w:tc>
          <w:tcPr>
            <w:tcW w:w="864" w:type="pct"/>
            <w:shd w:val="clear" w:color="auto" w:fill="E7E6E6" w:themeFill="background2"/>
            <w:vAlign w:val="center"/>
          </w:tcPr>
          <w:p w14:paraId="582D2CE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5820958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5.255.099</w:t>
            </w:r>
          </w:p>
        </w:tc>
        <w:tc>
          <w:tcPr>
            <w:tcW w:w="742" w:type="pct"/>
            <w:shd w:val="clear" w:color="auto" w:fill="E7E6E6" w:themeFill="background2"/>
            <w:vAlign w:val="center"/>
          </w:tcPr>
          <w:p w14:paraId="751610D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3,7</w:t>
            </w:r>
          </w:p>
        </w:tc>
      </w:tr>
    </w:tbl>
    <w:p w14:paraId="399659D6"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5801497F" w14:textId="77777777" w:rsidR="00AF66BB"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 categoria proiectelor cu o valoare cuprinsă între 1 și 5 milioane lei au fost contractate 6 intervenții, totalizând aproximativ 19 milioane lei. Deși cu un impact mai redus din punct de vedere al kilometrilor de drum modernizați (aproximativ 12,6 km), aceste investiții au vizat lucrări punctuale esențiale, precum modernizarea aleilor pietonale, realizarea de poduri, amenajarea rigolelor sau îmbunătățirea accesului în localități precum Jurilovca, Ciucurova, Meșteru, Ostrov sau Calfa.</w:t>
      </w:r>
    </w:p>
    <w:p w14:paraId="1EB00F86" w14:textId="77777777" w:rsidR="00F43CED" w:rsidRDefault="00F43CED" w:rsidP="004C072F">
      <w:pPr>
        <w:pStyle w:val="Smn"/>
        <w:contextualSpacing/>
        <w:rPr>
          <w:rFonts w:ascii="Times New Roman" w:hAnsi="Times New Roman" w:cs="Times New Roman"/>
          <w:sz w:val="22"/>
          <w:szCs w:val="22"/>
        </w:rPr>
      </w:pPr>
    </w:p>
    <w:p w14:paraId="446D7669" w14:textId="580BAB20"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58</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Proiecte contractate în Județul Tulcea cu o valoare cuprinsă între 1.000.000 și 5.000.000 lei prin Programul Național Anghel Saligny</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ayout w:type="fixed"/>
        <w:tblLook w:val="04A0" w:firstRow="1" w:lastRow="0" w:firstColumn="1" w:lastColumn="0" w:noHBand="0" w:noVBand="1"/>
      </w:tblPr>
      <w:tblGrid>
        <w:gridCol w:w="4953"/>
        <w:gridCol w:w="1615"/>
        <w:gridCol w:w="1389"/>
        <w:gridCol w:w="1387"/>
      </w:tblGrid>
      <w:tr w:rsidR="00AF66BB" w:rsidRPr="007D3D4F" w14:paraId="4879B92D" w14:textId="77777777" w:rsidTr="00C309C6">
        <w:trPr>
          <w:jc w:val="center"/>
        </w:trPr>
        <w:tc>
          <w:tcPr>
            <w:tcW w:w="2651" w:type="pct"/>
            <w:shd w:val="clear" w:color="auto" w:fill="3B3838" w:themeFill="background2" w:themeFillShade="40"/>
            <w:vAlign w:val="center"/>
          </w:tcPr>
          <w:p w14:paraId="36647BDA"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864" w:type="pct"/>
            <w:shd w:val="clear" w:color="auto" w:fill="3B3838" w:themeFill="background2" w:themeFillShade="40"/>
            <w:vAlign w:val="center"/>
          </w:tcPr>
          <w:p w14:paraId="47F02EA4"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743" w:type="pct"/>
            <w:shd w:val="clear" w:color="auto" w:fill="3B3838" w:themeFill="background2" w:themeFillShade="40"/>
            <w:vAlign w:val="center"/>
          </w:tcPr>
          <w:p w14:paraId="643A1840"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c>
          <w:tcPr>
            <w:tcW w:w="742" w:type="pct"/>
            <w:shd w:val="clear" w:color="auto" w:fill="3B3838" w:themeFill="background2" w:themeFillShade="40"/>
            <w:vAlign w:val="center"/>
          </w:tcPr>
          <w:p w14:paraId="23C144D1"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Nr. km modernizați</w:t>
            </w:r>
          </w:p>
        </w:tc>
      </w:tr>
      <w:tr w:rsidR="00AF66BB" w:rsidRPr="007D3D4F" w14:paraId="2DBCB0D4" w14:textId="77777777" w:rsidTr="00C309C6">
        <w:trPr>
          <w:trHeight w:val="137"/>
          <w:jc w:val="center"/>
        </w:trPr>
        <w:tc>
          <w:tcPr>
            <w:tcW w:w="2651" w:type="pct"/>
            <w:shd w:val="clear" w:color="auto" w:fill="E7E6E6" w:themeFill="background2"/>
            <w:vAlign w:val="center"/>
          </w:tcPr>
          <w:p w14:paraId="00C1D67B"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Modernizare străzi, alei pietonale și dispozitive de scurgere a apelor în comuna Jurilovca, județul Tulcea</w:t>
            </w:r>
          </w:p>
        </w:tc>
        <w:tc>
          <w:tcPr>
            <w:tcW w:w="864" w:type="pct"/>
            <w:shd w:val="clear" w:color="auto" w:fill="E7E6E6" w:themeFill="background2"/>
            <w:vAlign w:val="center"/>
          </w:tcPr>
          <w:p w14:paraId="274DEC1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7366620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4.341.860</w:t>
            </w:r>
          </w:p>
        </w:tc>
        <w:tc>
          <w:tcPr>
            <w:tcW w:w="742" w:type="pct"/>
            <w:shd w:val="clear" w:color="auto" w:fill="E7E6E6" w:themeFill="background2"/>
            <w:vAlign w:val="center"/>
          </w:tcPr>
          <w:p w14:paraId="39CAA22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0,5</w:t>
            </w:r>
          </w:p>
        </w:tc>
      </w:tr>
      <w:tr w:rsidR="00AF66BB" w:rsidRPr="007D3D4F" w14:paraId="533F693A" w14:textId="77777777" w:rsidTr="00C309C6">
        <w:trPr>
          <w:trHeight w:val="137"/>
          <w:jc w:val="center"/>
        </w:trPr>
        <w:tc>
          <w:tcPr>
            <w:tcW w:w="2651" w:type="pct"/>
            <w:shd w:val="clear" w:color="auto" w:fill="E7E6E6" w:themeFill="background2"/>
            <w:vAlign w:val="center"/>
          </w:tcPr>
          <w:p w14:paraId="3AD880F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Realizare poduri în comuna Ciucurova, județul Tulcea</w:t>
            </w:r>
          </w:p>
        </w:tc>
        <w:tc>
          <w:tcPr>
            <w:tcW w:w="864" w:type="pct"/>
            <w:shd w:val="clear" w:color="auto" w:fill="E7E6E6" w:themeFill="background2"/>
            <w:vAlign w:val="center"/>
          </w:tcPr>
          <w:p w14:paraId="1ED97128"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16D6E00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4.014.237</w:t>
            </w:r>
          </w:p>
        </w:tc>
        <w:tc>
          <w:tcPr>
            <w:tcW w:w="742" w:type="pct"/>
            <w:shd w:val="clear" w:color="auto" w:fill="E7E6E6" w:themeFill="background2"/>
            <w:vAlign w:val="center"/>
          </w:tcPr>
          <w:p w14:paraId="4C5E285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w:t>
            </w:r>
          </w:p>
        </w:tc>
      </w:tr>
      <w:tr w:rsidR="00AF66BB" w:rsidRPr="007D3D4F" w14:paraId="1F8059A9" w14:textId="77777777" w:rsidTr="00C309C6">
        <w:trPr>
          <w:trHeight w:val="137"/>
          <w:jc w:val="center"/>
        </w:trPr>
        <w:tc>
          <w:tcPr>
            <w:tcW w:w="2651" w:type="pct"/>
            <w:shd w:val="clear" w:color="auto" w:fill="E7E6E6" w:themeFill="background2"/>
            <w:vAlign w:val="center"/>
          </w:tcPr>
          <w:p w14:paraId="42B4B00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localitatea Meșteru, județul Tulcea</w:t>
            </w:r>
          </w:p>
        </w:tc>
        <w:tc>
          <w:tcPr>
            <w:tcW w:w="864" w:type="pct"/>
            <w:shd w:val="clear" w:color="auto" w:fill="E7E6E6" w:themeFill="background2"/>
            <w:vAlign w:val="center"/>
          </w:tcPr>
          <w:p w14:paraId="28D30F0F"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43F5839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3.781.601</w:t>
            </w:r>
          </w:p>
        </w:tc>
        <w:tc>
          <w:tcPr>
            <w:tcW w:w="742" w:type="pct"/>
            <w:shd w:val="clear" w:color="auto" w:fill="E7E6E6" w:themeFill="background2"/>
            <w:vAlign w:val="center"/>
          </w:tcPr>
          <w:p w14:paraId="3CC6538F"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w:t>
            </w:r>
          </w:p>
        </w:tc>
      </w:tr>
      <w:tr w:rsidR="00AF66BB" w:rsidRPr="007D3D4F" w14:paraId="2F452A79" w14:textId="77777777" w:rsidTr="00C309C6">
        <w:trPr>
          <w:trHeight w:val="137"/>
          <w:jc w:val="center"/>
        </w:trPr>
        <w:tc>
          <w:tcPr>
            <w:tcW w:w="2651" w:type="pct"/>
            <w:shd w:val="clear" w:color="auto" w:fill="E7E6E6" w:themeFill="background2"/>
            <w:vAlign w:val="center"/>
          </w:tcPr>
          <w:p w14:paraId="19FC7187"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Amenajare și modernizare drumuri de</w:t>
            </w:r>
            <w:r w:rsidRPr="007D3D4F">
              <w:rPr>
                <w:rFonts w:ascii="Times New Roman" w:hAnsi="Times New Roman" w:cs="Times New Roman"/>
                <w:color w:val="000000"/>
                <w:sz w:val="20"/>
                <w:szCs w:val="20"/>
              </w:rPr>
              <w:br/>
              <w:t>interes local, comuna Ostrov, județul Tulcea</w:t>
            </w:r>
          </w:p>
        </w:tc>
        <w:tc>
          <w:tcPr>
            <w:tcW w:w="864" w:type="pct"/>
            <w:shd w:val="clear" w:color="auto" w:fill="E7E6E6" w:themeFill="background2"/>
            <w:vAlign w:val="center"/>
          </w:tcPr>
          <w:p w14:paraId="049C0650"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70AADC5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3.577.738</w:t>
            </w:r>
          </w:p>
        </w:tc>
        <w:tc>
          <w:tcPr>
            <w:tcW w:w="742" w:type="pct"/>
            <w:shd w:val="clear" w:color="auto" w:fill="E7E6E6" w:themeFill="background2"/>
            <w:vAlign w:val="center"/>
          </w:tcPr>
          <w:p w14:paraId="65D4C98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1,8</w:t>
            </w:r>
          </w:p>
        </w:tc>
      </w:tr>
      <w:tr w:rsidR="00AF66BB" w:rsidRPr="007D3D4F" w14:paraId="7940B0DC" w14:textId="77777777" w:rsidTr="00C309C6">
        <w:trPr>
          <w:trHeight w:val="137"/>
          <w:jc w:val="center"/>
        </w:trPr>
        <w:tc>
          <w:tcPr>
            <w:tcW w:w="2651" w:type="pct"/>
            <w:shd w:val="clear" w:color="auto" w:fill="E7E6E6" w:themeFill="background2"/>
            <w:vAlign w:val="center"/>
          </w:tcPr>
          <w:p w14:paraId="0B7B2E4A"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 comunal 36 Calfa - DN 22A, comuna Topolog, județul Tulcea</w:t>
            </w:r>
          </w:p>
        </w:tc>
        <w:tc>
          <w:tcPr>
            <w:tcW w:w="864" w:type="pct"/>
            <w:shd w:val="clear" w:color="auto" w:fill="E7E6E6" w:themeFill="background2"/>
            <w:vAlign w:val="center"/>
          </w:tcPr>
          <w:p w14:paraId="0FAB878E"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427C0EA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1.249.508</w:t>
            </w:r>
          </w:p>
        </w:tc>
        <w:tc>
          <w:tcPr>
            <w:tcW w:w="742" w:type="pct"/>
            <w:shd w:val="clear" w:color="auto" w:fill="E7E6E6" w:themeFill="background2"/>
            <w:vAlign w:val="center"/>
          </w:tcPr>
          <w:p w14:paraId="2C4BF69D"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w:t>
            </w:r>
          </w:p>
        </w:tc>
      </w:tr>
    </w:tbl>
    <w:p w14:paraId="41CDE13B"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12467146"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La data de 31 martie 2025</w:t>
      </w:r>
      <w:r w:rsidRPr="007D3D4F">
        <w:rPr>
          <w:rStyle w:val="Referinnotdesubsol"/>
          <w:rFonts w:ascii="Times New Roman" w:hAnsi="Times New Roman" w:cs="Times New Roman"/>
          <w:sz w:val="22"/>
          <w:szCs w:val="22"/>
        </w:rPr>
        <w:footnoteReference w:id="23"/>
      </w:r>
      <w:r w:rsidRPr="007D3D4F">
        <w:rPr>
          <w:rFonts w:ascii="Times New Roman" w:hAnsi="Times New Roman" w:cs="Times New Roman"/>
          <w:sz w:val="22"/>
          <w:szCs w:val="22"/>
        </w:rPr>
        <w:t>, un număr de 6 proiecte din județul Tulcea aveau fonduri alocate prin Programul Național Anghel Saligny, dar nu erau încă contractate. Acestea totalizează o valoare cumulată de aproximativ 67 milioane lei și vizează modernizarea a 32 km de drumuri. Printre acestea se regăsesc intervenții importante în localități precum Isaccea, Hamcearca, Ciucurova, Sulina, Sfântu Gheorghe și Carcaliu.</w:t>
      </w:r>
    </w:p>
    <w:p w14:paraId="33743FEE" w14:textId="21BC7B54" w:rsidR="00AF66BB" w:rsidRPr="007D3D4F" w:rsidRDefault="00AF66BB"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Tabelul_nr._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59</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xml:space="preserve">: Proiecte pentru care au fost alocate fonduri prin Programul Național Anghel Saligny în Județul Tulcea dar încă necontractate </w:t>
      </w: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ayout w:type="fixed"/>
        <w:tblLook w:val="04A0" w:firstRow="1" w:lastRow="0" w:firstColumn="1" w:lastColumn="0" w:noHBand="0" w:noVBand="1"/>
      </w:tblPr>
      <w:tblGrid>
        <w:gridCol w:w="4953"/>
        <w:gridCol w:w="1615"/>
        <w:gridCol w:w="1389"/>
        <w:gridCol w:w="1387"/>
      </w:tblGrid>
      <w:tr w:rsidR="00AF66BB" w:rsidRPr="007D3D4F" w14:paraId="7BE8B342" w14:textId="77777777" w:rsidTr="00C309C6">
        <w:trPr>
          <w:jc w:val="center"/>
        </w:trPr>
        <w:tc>
          <w:tcPr>
            <w:tcW w:w="2651" w:type="pct"/>
            <w:shd w:val="clear" w:color="auto" w:fill="3B3838" w:themeFill="background2" w:themeFillShade="40"/>
            <w:vAlign w:val="center"/>
          </w:tcPr>
          <w:p w14:paraId="0DC55B77"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Titlul proiectului</w:t>
            </w:r>
          </w:p>
        </w:tc>
        <w:tc>
          <w:tcPr>
            <w:tcW w:w="864" w:type="pct"/>
            <w:shd w:val="clear" w:color="auto" w:fill="3B3838" w:themeFill="background2" w:themeFillShade="40"/>
            <w:vAlign w:val="center"/>
          </w:tcPr>
          <w:p w14:paraId="67529B13"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Tipul intervenției</w:t>
            </w:r>
          </w:p>
        </w:tc>
        <w:tc>
          <w:tcPr>
            <w:tcW w:w="743" w:type="pct"/>
            <w:shd w:val="clear" w:color="auto" w:fill="3B3838" w:themeFill="background2" w:themeFillShade="40"/>
            <w:vAlign w:val="center"/>
          </w:tcPr>
          <w:p w14:paraId="6714269B"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Valoare totală</w:t>
            </w:r>
          </w:p>
        </w:tc>
        <w:tc>
          <w:tcPr>
            <w:tcW w:w="742" w:type="pct"/>
            <w:shd w:val="clear" w:color="auto" w:fill="3B3838" w:themeFill="background2" w:themeFillShade="40"/>
            <w:vAlign w:val="center"/>
          </w:tcPr>
          <w:p w14:paraId="0B19E812" w14:textId="77777777" w:rsidR="00AF66BB" w:rsidRPr="007D3D4F" w:rsidRDefault="00AF66BB" w:rsidP="004C072F">
            <w:pPr>
              <w:spacing w:before="120" w:after="12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Nr. km modernizați</w:t>
            </w:r>
          </w:p>
        </w:tc>
      </w:tr>
      <w:tr w:rsidR="00AF66BB" w:rsidRPr="007D3D4F" w14:paraId="0A4409E7" w14:textId="77777777" w:rsidTr="00C309C6">
        <w:trPr>
          <w:trHeight w:val="137"/>
          <w:jc w:val="center"/>
        </w:trPr>
        <w:tc>
          <w:tcPr>
            <w:tcW w:w="2651" w:type="pct"/>
            <w:shd w:val="clear" w:color="auto" w:fill="E7E6E6" w:themeFill="background2"/>
            <w:vAlign w:val="center"/>
          </w:tcPr>
          <w:p w14:paraId="2931D81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color w:val="000000"/>
                <w:sz w:val="20"/>
                <w:szCs w:val="20"/>
              </w:rPr>
              <w:t>Asfaltare străzi, modernizare alei pietonale, accese la proprietăți și dispozitive de scurgerea apelor în sat Carcaliu, comuna Carcaliu, județul Tulcea</w:t>
            </w:r>
          </w:p>
        </w:tc>
        <w:tc>
          <w:tcPr>
            <w:tcW w:w="864" w:type="pct"/>
            <w:shd w:val="clear" w:color="auto" w:fill="E7E6E6" w:themeFill="background2"/>
            <w:vAlign w:val="center"/>
          </w:tcPr>
          <w:p w14:paraId="783B165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0DD5AFE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15.000.000</w:t>
            </w:r>
          </w:p>
        </w:tc>
        <w:tc>
          <w:tcPr>
            <w:tcW w:w="742" w:type="pct"/>
            <w:shd w:val="clear" w:color="auto" w:fill="E7E6E6" w:themeFill="background2"/>
            <w:vAlign w:val="center"/>
          </w:tcPr>
          <w:p w14:paraId="59C8DFF1"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7,3</w:t>
            </w:r>
          </w:p>
        </w:tc>
      </w:tr>
      <w:tr w:rsidR="00AF66BB" w:rsidRPr="007D3D4F" w14:paraId="68D44D37" w14:textId="77777777" w:rsidTr="00C309C6">
        <w:trPr>
          <w:trHeight w:val="137"/>
          <w:jc w:val="center"/>
        </w:trPr>
        <w:tc>
          <w:tcPr>
            <w:tcW w:w="2651" w:type="pct"/>
            <w:shd w:val="clear" w:color="auto" w:fill="E7E6E6" w:themeFill="background2"/>
            <w:vAlign w:val="center"/>
          </w:tcPr>
          <w:p w14:paraId="6F3CA53A"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în comuna Ciucurova, județul Tulcea</w:t>
            </w:r>
          </w:p>
        </w:tc>
        <w:tc>
          <w:tcPr>
            <w:tcW w:w="864" w:type="pct"/>
            <w:shd w:val="clear" w:color="auto" w:fill="E7E6E6" w:themeFill="background2"/>
            <w:vAlign w:val="center"/>
          </w:tcPr>
          <w:p w14:paraId="049B98C3"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60401986"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7.425.245</w:t>
            </w:r>
          </w:p>
        </w:tc>
        <w:tc>
          <w:tcPr>
            <w:tcW w:w="742" w:type="pct"/>
            <w:shd w:val="clear" w:color="auto" w:fill="E7E6E6" w:themeFill="background2"/>
            <w:vAlign w:val="center"/>
          </w:tcPr>
          <w:p w14:paraId="16201BB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4,9</w:t>
            </w:r>
          </w:p>
        </w:tc>
      </w:tr>
      <w:tr w:rsidR="00AF66BB" w:rsidRPr="007D3D4F" w14:paraId="7316E21F" w14:textId="77777777" w:rsidTr="00C309C6">
        <w:trPr>
          <w:trHeight w:val="137"/>
          <w:jc w:val="center"/>
        </w:trPr>
        <w:tc>
          <w:tcPr>
            <w:tcW w:w="2651" w:type="pct"/>
            <w:shd w:val="clear" w:color="auto" w:fill="E7E6E6" w:themeFill="background2"/>
            <w:vAlign w:val="center"/>
          </w:tcPr>
          <w:p w14:paraId="33A31BF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de interes local în comuna Hamcearca, județul Tulcea</w:t>
            </w:r>
          </w:p>
        </w:tc>
        <w:tc>
          <w:tcPr>
            <w:tcW w:w="864" w:type="pct"/>
            <w:shd w:val="clear" w:color="auto" w:fill="E7E6E6" w:themeFill="background2"/>
            <w:vAlign w:val="center"/>
          </w:tcPr>
          <w:p w14:paraId="137566B2"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19F16D78"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8.849.981</w:t>
            </w:r>
          </w:p>
        </w:tc>
        <w:tc>
          <w:tcPr>
            <w:tcW w:w="742" w:type="pct"/>
            <w:shd w:val="clear" w:color="auto" w:fill="E7E6E6" w:themeFill="background2"/>
            <w:vAlign w:val="center"/>
          </w:tcPr>
          <w:p w14:paraId="5E014DEA"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5,3</w:t>
            </w:r>
          </w:p>
        </w:tc>
      </w:tr>
      <w:tr w:rsidR="00AF66BB" w:rsidRPr="007D3D4F" w14:paraId="31804DFF" w14:textId="77777777" w:rsidTr="00C309C6">
        <w:trPr>
          <w:trHeight w:val="137"/>
          <w:jc w:val="center"/>
        </w:trPr>
        <w:tc>
          <w:tcPr>
            <w:tcW w:w="2651" w:type="pct"/>
            <w:shd w:val="clear" w:color="auto" w:fill="E7E6E6" w:themeFill="background2"/>
            <w:vAlign w:val="center"/>
          </w:tcPr>
          <w:p w14:paraId="4FEDB07A"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drumuri publice în UAT Isaccea – etapa III</w:t>
            </w:r>
          </w:p>
        </w:tc>
        <w:tc>
          <w:tcPr>
            <w:tcW w:w="864" w:type="pct"/>
            <w:shd w:val="clear" w:color="auto" w:fill="E7E6E6" w:themeFill="background2"/>
            <w:vAlign w:val="center"/>
          </w:tcPr>
          <w:p w14:paraId="6C9823D7"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23A3E20C"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18.894.548</w:t>
            </w:r>
          </w:p>
        </w:tc>
        <w:tc>
          <w:tcPr>
            <w:tcW w:w="742" w:type="pct"/>
            <w:shd w:val="clear" w:color="auto" w:fill="E7E6E6" w:themeFill="background2"/>
            <w:vAlign w:val="center"/>
          </w:tcPr>
          <w:p w14:paraId="6123B26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8,9</w:t>
            </w:r>
          </w:p>
        </w:tc>
      </w:tr>
      <w:tr w:rsidR="00AF66BB" w:rsidRPr="007D3D4F" w14:paraId="3C0F20F5" w14:textId="77777777" w:rsidTr="00C309C6">
        <w:trPr>
          <w:trHeight w:val="137"/>
          <w:jc w:val="center"/>
        </w:trPr>
        <w:tc>
          <w:tcPr>
            <w:tcW w:w="2651" w:type="pct"/>
            <w:shd w:val="clear" w:color="auto" w:fill="E7E6E6" w:themeFill="background2"/>
            <w:vAlign w:val="center"/>
          </w:tcPr>
          <w:p w14:paraId="223D0009"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Amenajare drumuri în comuna Sfântu Gheorghe județul Tulcea</w:t>
            </w:r>
          </w:p>
        </w:tc>
        <w:tc>
          <w:tcPr>
            <w:tcW w:w="864" w:type="pct"/>
            <w:shd w:val="clear" w:color="auto" w:fill="E7E6E6" w:themeFill="background2"/>
            <w:vAlign w:val="center"/>
          </w:tcPr>
          <w:p w14:paraId="19372F4A"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751DF17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10.000.000</w:t>
            </w:r>
          </w:p>
        </w:tc>
        <w:tc>
          <w:tcPr>
            <w:tcW w:w="742" w:type="pct"/>
            <w:shd w:val="clear" w:color="auto" w:fill="E7E6E6" w:themeFill="background2"/>
            <w:vAlign w:val="center"/>
          </w:tcPr>
          <w:p w14:paraId="18C44170"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5</w:t>
            </w:r>
          </w:p>
        </w:tc>
      </w:tr>
      <w:tr w:rsidR="00AF66BB" w:rsidRPr="007D3D4F" w14:paraId="3BE84728" w14:textId="77777777" w:rsidTr="00C309C6">
        <w:trPr>
          <w:trHeight w:val="137"/>
          <w:jc w:val="center"/>
        </w:trPr>
        <w:tc>
          <w:tcPr>
            <w:tcW w:w="2651" w:type="pct"/>
            <w:shd w:val="clear" w:color="auto" w:fill="E7E6E6" w:themeFill="background2"/>
            <w:vAlign w:val="center"/>
          </w:tcPr>
          <w:p w14:paraId="2B70247B"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Modernizare străzi de interes local în orașul Sulina, județul Tulcea</w:t>
            </w:r>
          </w:p>
        </w:tc>
        <w:tc>
          <w:tcPr>
            <w:tcW w:w="864" w:type="pct"/>
            <w:shd w:val="clear" w:color="auto" w:fill="E7E6E6" w:themeFill="background2"/>
            <w:vAlign w:val="center"/>
          </w:tcPr>
          <w:p w14:paraId="0834557C" w14:textId="77777777" w:rsidR="00AF66BB" w:rsidRPr="007D3D4F" w:rsidRDefault="00AF66BB" w:rsidP="004C072F">
            <w:pPr>
              <w:spacing w:before="120" w:after="120"/>
              <w:contextualSpacing/>
              <w:jc w:val="center"/>
              <w:rPr>
                <w:rFonts w:ascii="Times New Roman" w:hAnsi="Times New Roman" w:cs="Times New Roman"/>
                <w:sz w:val="20"/>
                <w:szCs w:val="20"/>
              </w:rPr>
            </w:pPr>
            <w:r w:rsidRPr="007D3D4F">
              <w:rPr>
                <w:rFonts w:ascii="Times New Roman" w:hAnsi="Times New Roman" w:cs="Times New Roman"/>
                <w:sz w:val="20"/>
                <w:szCs w:val="20"/>
              </w:rPr>
              <w:t>Infrastructură rutieră</w:t>
            </w:r>
          </w:p>
        </w:tc>
        <w:tc>
          <w:tcPr>
            <w:tcW w:w="743" w:type="pct"/>
            <w:shd w:val="clear" w:color="auto" w:fill="E7E6E6" w:themeFill="background2"/>
            <w:vAlign w:val="center"/>
          </w:tcPr>
          <w:p w14:paraId="5AC01E82"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6.944.040</w:t>
            </w:r>
          </w:p>
        </w:tc>
        <w:tc>
          <w:tcPr>
            <w:tcW w:w="742" w:type="pct"/>
            <w:shd w:val="clear" w:color="auto" w:fill="E7E6E6" w:themeFill="background2"/>
            <w:vAlign w:val="center"/>
          </w:tcPr>
          <w:p w14:paraId="175F3E5E" w14:textId="77777777" w:rsidR="00AF66BB" w:rsidRPr="007D3D4F" w:rsidRDefault="00AF66BB" w:rsidP="004C072F">
            <w:pPr>
              <w:spacing w:before="120" w:after="120"/>
              <w:contextualSpacing/>
              <w:jc w:val="center"/>
              <w:rPr>
                <w:rFonts w:ascii="Times New Roman" w:hAnsi="Times New Roman" w:cs="Times New Roman"/>
                <w:color w:val="000000"/>
                <w:sz w:val="20"/>
                <w:szCs w:val="20"/>
              </w:rPr>
            </w:pPr>
            <w:r w:rsidRPr="007D3D4F">
              <w:rPr>
                <w:rFonts w:ascii="Times New Roman" w:hAnsi="Times New Roman" w:cs="Times New Roman"/>
                <w:color w:val="000000"/>
                <w:sz w:val="20"/>
                <w:szCs w:val="20"/>
              </w:rPr>
              <w:t>0,6</w:t>
            </w:r>
          </w:p>
        </w:tc>
      </w:tr>
    </w:tbl>
    <w:p w14:paraId="58FEAD69" w14:textId="77777777" w:rsidR="00AF66BB" w:rsidRPr="007D3D4F" w:rsidRDefault="00AF66BB" w:rsidP="004C072F">
      <w:pPr>
        <w:spacing w:before="120" w:after="120" w:line="240" w:lineRule="auto"/>
        <w:contextualSpacing/>
        <w:jc w:val="center"/>
        <w:rPr>
          <w:rFonts w:ascii="Times New Roman" w:hAnsi="Times New Roman" w:cs="Times New Roman"/>
        </w:rPr>
      </w:pPr>
      <w:r w:rsidRPr="007D3D4F">
        <w:rPr>
          <w:rFonts w:ascii="Times New Roman" w:hAnsi="Times New Roman" w:cs="Times New Roman"/>
          <w:b/>
          <w:bCs/>
        </w:rPr>
        <w:t xml:space="preserve">Sursa: </w:t>
      </w:r>
      <w:r w:rsidRPr="007D3D4F">
        <w:rPr>
          <w:rFonts w:ascii="Times New Roman" w:hAnsi="Times New Roman" w:cs="Times New Roman"/>
        </w:rPr>
        <w:t>Autorul, pe baza documentelor oficiale existente</w:t>
      </w:r>
    </w:p>
    <w:p w14:paraId="3D4F73DB" w14:textId="77777777" w:rsidR="00AF66BB" w:rsidRPr="007D3D4F" w:rsidRDefault="00AF66BB" w:rsidP="004C072F">
      <w:pPr>
        <w:shd w:val="clear" w:color="auto" w:fill="FFF2CC" w:themeFill="accent4" w:themeFillTint="33"/>
        <w:spacing w:before="120" w:after="120" w:line="240" w:lineRule="auto"/>
        <w:contextualSpacing/>
        <w:jc w:val="both"/>
        <w:rPr>
          <w:rFonts w:ascii="Times New Roman" w:hAnsi="Times New Roman" w:cs="Times New Roman"/>
          <w:b/>
          <w:bCs/>
        </w:rPr>
      </w:pPr>
      <w:r w:rsidRPr="007D3D4F">
        <w:rPr>
          <w:rFonts w:ascii="Times New Roman" w:hAnsi="Times New Roman" w:cs="Times New Roman"/>
          <w:b/>
          <w:bCs/>
        </w:rPr>
        <w:t>Proiecte finanțate din buget local</w:t>
      </w:r>
    </w:p>
    <w:p w14:paraId="2C1C62D0"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Pe lângă proiectele finanțate prin programele naționale și europene, autoritățile locale din județul Tulcea au continuat să investească în infrastructura de transport și din resurse proprii. În anul 2025 CJ Tulcea a finanțat o serie de lucrări esențiale, cu rol de consolidare, întreținere sau pregătire a viitoarelor investiții majore:</w:t>
      </w:r>
    </w:p>
    <w:p w14:paraId="58079FA0" w14:textId="77777777" w:rsidR="00AF66BB" w:rsidRPr="007D3D4F" w:rsidRDefault="00AF66BB" w:rsidP="00D81598">
      <w:pPr>
        <w:pStyle w:val="Smn"/>
        <w:numPr>
          <w:ilvl w:val="0"/>
          <w:numId w:val="22"/>
        </w:numPr>
        <w:contextualSpacing/>
        <w:rPr>
          <w:rFonts w:ascii="Times New Roman" w:hAnsi="Times New Roman" w:cs="Times New Roman"/>
          <w:sz w:val="22"/>
          <w:szCs w:val="22"/>
        </w:rPr>
      </w:pPr>
      <w:r w:rsidRPr="007D3D4F">
        <w:rPr>
          <w:rFonts w:ascii="Times New Roman" w:hAnsi="Times New Roman" w:cs="Times New Roman"/>
          <w:sz w:val="22"/>
          <w:szCs w:val="22"/>
        </w:rPr>
        <w:t xml:space="preserve">Lucrări de </w:t>
      </w:r>
      <w:r w:rsidRPr="007D3D4F">
        <w:rPr>
          <w:rFonts w:ascii="Times New Roman" w:hAnsi="Times New Roman" w:cs="Times New Roman"/>
          <w:b/>
          <w:bCs/>
          <w:sz w:val="22"/>
          <w:szCs w:val="22"/>
        </w:rPr>
        <w:t>întărire a fundației și reparație a căii de rulare</w:t>
      </w:r>
      <w:r w:rsidRPr="007D3D4F">
        <w:rPr>
          <w:rFonts w:ascii="Times New Roman" w:hAnsi="Times New Roman" w:cs="Times New Roman"/>
          <w:sz w:val="22"/>
          <w:szCs w:val="22"/>
        </w:rPr>
        <w:t xml:space="preserve"> pentru DJ 222N Tulcea–Chilia Veche, prin aplicarea unui strat de îmbrăcăminte de piatră (valoare: </w:t>
      </w:r>
      <w:r w:rsidRPr="007D3D4F">
        <w:rPr>
          <w:rFonts w:ascii="Times New Roman" w:hAnsi="Times New Roman" w:cs="Times New Roman"/>
          <w:b/>
          <w:bCs/>
          <w:sz w:val="22"/>
          <w:szCs w:val="22"/>
        </w:rPr>
        <w:t>15,9 milioane lei</w:t>
      </w:r>
      <w:r w:rsidRPr="007D3D4F">
        <w:rPr>
          <w:rFonts w:ascii="Times New Roman" w:hAnsi="Times New Roman" w:cs="Times New Roman"/>
          <w:sz w:val="22"/>
          <w:szCs w:val="22"/>
        </w:rPr>
        <w:t>).</w:t>
      </w:r>
    </w:p>
    <w:p w14:paraId="3783A3B4" w14:textId="77777777" w:rsidR="00AF66BB" w:rsidRPr="007D3D4F" w:rsidRDefault="00AF66BB" w:rsidP="00D81598">
      <w:pPr>
        <w:pStyle w:val="Smn"/>
        <w:numPr>
          <w:ilvl w:val="0"/>
          <w:numId w:val="22"/>
        </w:numPr>
        <w:contextualSpacing/>
        <w:rPr>
          <w:rFonts w:ascii="Times New Roman" w:hAnsi="Times New Roman" w:cs="Times New Roman"/>
          <w:sz w:val="22"/>
          <w:szCs w:val="22"/>
        </w:rPr>
      </w:pPr>
      <w:r w:rsidRPr="007D3D4F">
        <w:rPr>
          <w:rFonts w:ascii="Times New Roman" w:hAnsi="Times New Roman" w:cs="Times New Roman"/>
          <w:sz w:val="22"/>
          <w:szCs w:val="22"/>
        </w:rPr>
        <w:lastRenderedPageBreak/>
        <w:t xml:space="preserve">Elaborarea unor </w:t>
      </w:r>
      <w:r w:rsidRPr="007D3D4F">
        <w:rPr>
          <w:rFonts w:ascii="Times New Roman" w:hAnsi="Times New Roman" w:cs="Times New Roman"/>
          <w:b/>
          <w:bCs/>
          <w:sz w:val="22"/>
          <w:szCs w:val="22"/>
        </w:rPr>
        <w:t>studii și documentații tehnico-economice</w:t>
      </w:r>
      <w:r w:rsidRPr="007D3D4F">
        <w:rPr>
          <w:rFonts w:ascii="Times New Roman" w:hAnsi="Times New Roman" w:cs="Times New Roman"/>
          <w:sz w:val="22"/>
          <w:szCs w:val="22"/>
        </w:rPr>
        <w:t xml:space="preserve"> (DALI, avize, expertize) pentru:</w:t>
      </w:r>
    </w:p>
    <w:p w14:paraId="502BFD6B" w14:textId="77777777" w:rsidR="00AF66BB" w:rsidRPr="007D3D4F" w:rsidRDefault="00AF66BB" w:rsidP="00D81598">
      <w:pPr>
        <w:pStyle w:val="Smn"/>
        <w:numPr>
          <w:ilvl w:val="1"/>
          <w:numId w:val="22"/>
        </w:numPr>
        <w:contextualSpacing/>
        <w:rPr>
          <w:rFonts w:ascii="Times New Roman" w:hAnsi="Times New Roman" w:cs="Times New Roman"/>
          <w:sz w:val="22"/>
          <w:szCs w:val="22"/>
        </w:rPr>
      </w:pPr>
      <w:r w:rsidRPr="007D3D4F">
        <w:rPr>
          <w:rFonts w:ascii="Times New Roman" w:hAnsi="Times New Roman" w:cs="Times New Roman"/>
          <w:sz w:val="22"/>
          <w:szCs w:val="22"/>
        </w:rPr>
        <w:t>un pod peste canalul Părdina (DJ 222N);</w:t>
      </w:r>
    </w:p>
    <w:p w14:paraId="42A5C138" w14:textId="77777777" w:rsidR="00AF66BB" w:rsidRPr="007D3D4F" w:rsidRDefault="00AF66BB" w:rsidP="00D81598">
      <w:pPr>
        <w:pStyle w:val="Smn"/>
        <w:numPr>
          <w:ilvl w:val="1"/>
          <w:numId w:val="22"/>
        </w:numPr>
        <w:contextualSpacing/>
        <w:rPr>
          <w:rFonts w:ascii="Times New Roman" w:hAnsi="Times New Roman" w:cs="Times New Roman"/>
          <w:sz w:val="22"/>
          <w:szCs w:val="22"/>
        </w:rPr>
      </w:pPr>
      <w:r w:rsidRPr="007D3D4F">
        <w:rPr>
          <w:rFonts w:ascii="Times New Roman" w:hAnsi="Times New Roman" w:cs="Times New Roman"/>
          <w:sz w:val="22"/>
          <w:szCs w:val="22"/>
        </w:rPr>
        <w:t xml:space="preserve">consolidarea unei ravene pe DJ 222C, cu valori de aproximativ </w:t>
      </w:r>
      <w:r w:rsidRPr="007D3D4F">
        <w:rPr>
          <w:rFonts w:ascii="Times New Roman" w:hAnsi="Times New Roman" w:cs="Times New Roman"/>
          <w:b/>
          <w:bCs/>
          <w:sz w:val="22"/>
          <w:szCs w:val="22"/>
        </w:rPr>
        <w:t>400.000 lei fiecare</w:t>
      </w:r>
      <w:r w:rsidRPr="007D3D4F">
        <w:rPr>
          <w:rFonts w:ascii="Times New Roman" w:hAnsi="Times New Roman" w:cs="Times New Roman"/>
          <w:sz w:val="22"/>
          <w:szCs w:val="22"/>
        </w:rPr>
        <w:t>.</w:t>
      </w:r>
    </w:p>
    <w:p w14:paraId="6BF268E4" w14:textId="77777777" w:rsidR="00AF66BB" w:rsidRPr="007D3D4F" w:rsidRDefault="00AF66BB" w:rsidP="00D81598">
      <w:pPr>
        <w:pStyle w:val="Smn"/>
        <w:numPr>
          <w:ilvl w:val="0"/>
          <w:numId w:val="22"/>
        </w:numPr>
        <w:contextualSpacing/>
        <w:rPr>
          <w:rFonts w:ascii="Times New Roman" w:hAnsi="Times New Roman" w:cs="Times New Roman"/>
          <w:sz w:val="22"/>
          <w:szCs w:val="22"/>
        </w:rPr>
      </w:pPr>
      <w:r w:rsidRPr="007D3D4F">
        <w:rPr>
          <w:rFonts w:ascii="Times New Roman" w:hAnsi="Times New Roman" w:cs="Times New Roman"/>
          <w:sz w:val="22"/>
          <w:szCs w:val="22"/>
        </w:rPr>
        <w:t xml:space="preserve">Intervenții de </w:t>
      </w:r>
      <w:r w:rsidRPr="007D3D4F">
        <w:rPr>
          <w:rFonts w:ascii="Times New Roman" w:hAnsi="Times New Roman" w:cs="Times New Roman"/>
          <w:b/>
          <w:bCs/>
          <w:sz w:val="22"/>
          <w:szCs w:val="22"/>
        </w:rPr>
        <w:t>amenajare pietonală și peisagistică</w:t>
      </w:r>
      <w:r w:rsidRPr="007D3D4F">
        <w:rPr>
          <w:rFonts w:ascii="Times New Roman" w:hAnsi="Times New Roman" w:cs="Times New Roman"/>
          <w:sz w:val="22"/>
          <w:szCs w:val="22"/>
        </w:rPr>
        <w:t xml:space="preserve"> pentru Portul Turistic Tulcea – Faleza Ivan Patzaichin și digul de apărare aferent (valoare: </w:t>
      </w:r>
      <w:r w:rsidRPr="007D3D4F">
        <w:rPr>
          <w:rFonts w:ascii="Times New Roman" w:hAnsi="Times New Roman" w:cs="Times New Roman"/>
          <w:b/>
          <w:bCs/>
          <w:sz w:val="22"/>
          <w:szCs w:val="22"/>
        </w:rPr>
        <w:t>2,07 milioane lei</w:t>
      </w:r>
      <w:r w:rsidRPr="007D3D4F">
        <w:rPr>
          <w:rFonts w:ascii="Times New Roman" w:hAnsi="Times New Roman" w:cs="Times New Roman"/>
          <w:sz w:val="22"/>
          <w:szCs w:val="22"/>
        </w:rPr>
        <w:t>).</w:t>
      </w:r>
    </w:p>
    <w:p w14:paraId="4DAEF414"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Aceste investiții punctuale contribuie la întreținerea și dezvoltarea durabilă a infrastructurii existente și evidențiază implicarea autorităților locale în completarea fondurilor atrase din alte surse.</w:t>
      </w:r>
    </w:p>
    <w:p w14:paraId="4BD689D8" w14:textId="77777777" w:rsidR="00AF66BB" w:rsidRPr="007D3D4F" w:rsidRDefault="00AF66BB" w:rsidP="004C072F">
      <w:pPr>
        <w:shd w:val="clear" w:color="auto" w:fill="FFF2CC" w:themeFill="accent4" w:themeFillTint="33"/>
        <w:spacing w:before="120" w:after="120" w:line="240" w:lineRule="auto"/>
        <w:contextualSpacing/>
        <w:jc w:val="both"/>
        <w:rPr>
          <w:rFonts w:ascii="Times New Roman" w:hAnsi="Times New Roman" w:cs="Times New Roman"/>
          <w:b/>
          <w:bCs/>
        </w:rPr>
      </w:pPr>
      <w:r w:rsidRPr="007D3D4F">
        <w:rPr>
          <w:rFonts w:ascii="Times New Roman" w:hAnsi="Times New Roman" w:cs="Times New Roman"/>
          <w:b/>
          <w:bCs/>
        </w:rPr>
        <w:t>Programului Regional Sud-Est 2021-2027</w:t>
      </w:r>
    </w:p>
    <w:p w14:paraId="0072F080"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Unul dintre cele mai importante proiecte aflate în implementare în județul Tulcea în perioada 2021–2027 este cel de modernizare a infrastructurii de transport regional pe traseul Sarighiol de Deal – Rahman (DJ222E), finanțat prin Programul Regional Sud-Est 2021–2027, la inițiativa CJ Tulcea. Valoarea totală a proiectului este de 163,5 milioane lei, din care peste 121 milioane lei reprezintă finanțare nerambursabilă din FEDR.</w:t>
      </w:r>
    </w:p>
    <w:p w14:paraId="5481077C"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Proiectul vizează modernizarea unui tronson de 28 km de drum județean, construirea a 4 poduri, amenajarea de trotuare (11,24 km), pistă pentru biciclete (7,88 km), precum și dotarea cu stații de autobuz și echipamente pentru siguranța rutieră. Această investiție contribuie la îmbunătățirea mobilității în zona de sud-vest a județului și la creșterea accesibilității către rețeaua TEN-T, facilitând legătura cu localitățile Corugea, Casimcea și Sarighiol de Deal.</w:t>
      </w:r>
    </w:p>
    <w:p w14:paraId="75090799" w14:textId="77777777" w:rsidR="00AF66BB" w:rsidRPr="007D3D4F" w:rsidRDefault="00AF66BB"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Proiectul este un exemplu de abordare integrată și durabilă în modernizarea infrastructurii, incluzând componente pentru siguranță rutieră, transport alternativ (piste de biciclete) și accesibilitate pentru transportul public.</w:t>
      </w:r>
    </w:p>
    <w:p w14:paraId="327C4075" w14:textId="77777777" w:rsidR="00AF66BB" w:rsidRPr="007D3D4F" w:rsidRDefault="00AF66BB" w:rsidP="004C072F">
      <w:pPr>
        <w:pStyle w:val="Smn"/>
        <w:contextualSpacing/>
        <w:rPr>
          <w:rFonts w:ascii="Times New Roman" w:hAnsi="Times New Roman" w:cs="Times New Roman"/>
          <w:sz w:val="22"/>
          <w:szCs w:val="22"/>
        </w:rPr>
      </w:pPr>
    </w:p>
    <w:p w14:paraId="63C19B5F" w14:textId="77777777" w:rsidR="00AF66BB" w:rsidRPr="007D3D4F" w:rsidRDefault="00AF66BB" w:rsidP="004C072F">
      <w:pPr>
        <w:spacing w:before="120" w:after="120" w:line="240" w:lineRule="auto"/>
        <w:contextualSpacing/>
        <w:rPr>
          <w:rFonts w:ascii="Times New Roman" w:eastAsiaTheme="majorEastAsia" w:hAnsi="Times New Roman" w:cs="Times New Roman"/>
          <w:color w:val="272727" w:themeColor="text1" w:themeTint="D8"/>
        </w:rPr>
      </w:pPr>
      <w:r w:rsidRPr="007D3D4F">
        <w:rPr>
          <w:rFonts w:ascii="Times New Roman" w:hAnsi="Times New Roman" w:cs="Times New Roman"/>
        </w:rPr>
        <w:br w:type="page"/>
      </w:r>
    </w:p>
    <w:bookmarkEnd w:id="2"/>
    <w:p w14:paraId="6E295100" w14:textId="42156436" w:rsidR="004C072F" w:rsidRPr="007D3D4F" w:rsidRDefault="00AF66BB" w:rsidP="004C072F">
      <w:pPr>
        <w:pStyle w:val="Smn"/>
        <w:contextualSpacing/>
        <w:jc w:val="center"/>
        <w:rPr>
          <w:rFonts w:ascii="Times New Roman" w:hAnsi="Times New Roman" w:cs="Times New Roman"/>
          <w:b/>
          <w:bCs/>
          <w:color w:val="auto"/>
          <w:sz w:val="36"/>
          <w:szCs w:val="36"/>
        </w:rPr>
      </w:pPr>
      <w:r w:rsidRPr="007D3D4F">
        <w:rPr>
          <w:rFonts w:ascii="Times New Roman" w:hAnsi="Times New Roman" w:cs="Times New Roman"/>
          <w:b/>
          <w:bCs/>
          <w:color w:val="auto"/>
          <w:sz w:val="36"/>
          <w:szCs w:val="36"/>
        </w:rPr>
        <w:lastRenderedPageBreak/>
        <w:t xml:space="preserve">ANEXA </w:t>
      </w:r>
      <w:r w:rsidR="00E70AB1" w:rsidRPr="007D3D4F">
        <w:rPr>
          <w:rFonts w:ascii="Times New Roman" w:hAnsi="Times New Roman" w:cs="Times New Roman"/>
          <w:b/>
          <w:bCs/>
          <w:color w:val="auto"/>
          <w:sz w:val="36"/>
          <w:szCs w:val="36"/>
        </w:rPr>
        <w:t>2</w:t>
      </w:r>
    </w:p>
    <w:p w14:paraId="72F9141E" w14:textId="49B24528" w:rsidR="004767A3" w:rsidRPr="007D3D4F" w:rsidRDefault="00AF66BB" w:rsidP="004C072F">
      <w:pPr>
        <w:pStyle w:val="Smn"/>
        <w:contextualSpacing/>
        <w:jc w:val="center"/>
        <w:rPr>
          <w:rFonts w:ascii="Times New Roman" w:hAnsi="Times New Roman" w:cs="Times New Roman"/>
          <w:b/>
          <w:bCs/>
          <w:color w:val="auto"/>
          <w:sz w:val="36"/>
          <w:szCs w:val="36"/>
        </w:rPr>
      </w:pPr>
      <w:r w:rsidRPr="007D3D4F">
        <w:rPr>
          <w:rFonts w:ascii="Times New Roman" w:hAnsi="Times New Roman" w:cs="Times New Roman"/>
          <w:b/>
          <w:bCs/>
          <w:color w:val="auto"/>
          <w:sz w:val="36"/>
          <w:szCs w:val="36"/>
        </w:rPr>
        <w:t>PRELUCRĂRI STATISTICE</w:t>
      </w:r>
    </w:p>
    <w:p w14:paraId="3EE155EA" w14:textId="77777777" w:rsidR="00370808" w:rsidRPr="007D3D4F" w:rsidRDefault="00370808" w:rsidP="004C072F">
      <w:pPr>
        <w:pStyle w:val="Smn"/>
        <w:contextualSpacing/>
        <w:jc w:val="center"/>
        <w:rPr>
          <w:rFonts w:ascii="Times New Roman" w:hAnsi="Times New Roman" w:cs="Times New Roman"/>
          <w:sz w:val="22"/>
          <w:szCs w:val="22"/>
        </w:rPr>
      </w:pPr>
    </w:p>
    <w:p w14:paraId="62C32BE5" w14:textId="1E326816" w:rsidR="00204DBB" w:rsidRPr="007D3D4F" w:rsidRDefault="00204DBB" w:rsidP="00D81598">
      <w:pPr>
        <w:pStyle w:val="Smn"/>
        <w:numPr>
          <w:ilvl w:val="0"/>
          <w:numId w:val="28"/>
        </w:numPr>
        <w:ind w:left="414" w:hanging="357"/>
        <w:contextualSpacing/>
        <w:rPr>
          <w:rFonts w:ascii="Times New Roman" w:hAnsi="Times New Roman" w:cs="Times New Roman"/>
          <w:i/>
          <w:iCs/>
          <w:sz w:val="22"/>
          <w:szCs w:val="22"/>
        </w:rPr>
      </w:pPr>
      <w:r w:rsidRPr="007D3D4F">
        <w:rPr>
          <w:rFonts w:ascii="Times New Roman" w:hAnsi="Times New Roman" w:cs="Times New Roman"/>
          <w:b/>
          <w:bCs/>
          <w:sz w:val="22"/>
          <w:szCs w:val="22"/>
        </w:rPr>
        <w:t xml:space="preserve">Arii naturale protejate </w:t>
      </w:r>
      <w:r w:rsidR="008D3BF6" w:rsidRPr="007D3D4F">
        <w:rPr>
          <w:rFonts w:ascii="Times New Roman" w:hAnsi="Times New Roman" w:cs="Times New Roman"/>
          <w:sz w:val="22"/>
          <w:szCs w:val="22"/>
        </w:rPr>
        <w:t>–</w:t>
      </w:r>
      <w:r w:rsidRPr="007D3D4F">
        <w:rPr>
          <w:rFonts w:ascii="Times New Roman" w:hAnsi="Times New Roman" w:cs="Times New Roman"/>
          <w:sz w:val="22"/>
          <w:szCs w:val="22"/>
        </w:rPr>
        <w:t xml:space="preserve"> </w:t>
      </w:r>
      <w:r w:rsidR="008D3BF6" w:rsidRPr="007D3D4F">
        <w:rPr>
          <w:rFonts w:ascii="Times New Roman" w:hAnsi="Times New Roman" w:cs="Times New Roman"/>
          <w:i/>
          <w:iCs/>
          <w:sz w:val="22"/>
          <w:szCs w:val="22"/>
        </w:rPr>
        <w:t>Capitolul 3,</w:t>
      </w:r>
      <w:r w:rsidR="008D3BF6" w:rsidRPr="007D3D4F">
        <w:rPr>
          <w:rFonts w:ascii="Times New Roman" w:hAnsi="Times New Roman" w:cs="Times New Roman"/>
          <w:sz w:val="22"/>
          <w:szCs w:val="22"/>
        </w:rPr>
        <w:t xml:space="preserve"> </w:t>
      </w:r>
      <w:r w:rsidRPr="007D3D4F">
        <w:rPr>
          <w:rFonts w:ascii="Times New Roman" w:hAnsi="Times New Roman" w:cs="Times New Roman"/>
          <w:i/>
          <w:iCs/>
          <w:sz w:val="22"/>
          <w:szCs w:val="22"/>
        </w:rPr>
        <w:t>subcapitolul 3.1. Structura teritorială, demografie, navetism</w:t>
      </w:r>
    </w:p>
    <w:p w14:paraId="127AD90E" w14:textId="77777777" w:rsidR="008D3BF6" w:rsidRPr="007D3D4F" w:rsidRDefault="008D3BF6" w:rsidP="004C072F">
      <w:pPr>
        <w:pStyle w:val="Smn"/>
        <w:contextualSpacing/>
        <w:rPr>
          <w:rFonts w:ascii="Times New Roman" w:hAnsi="Times New Roman" w:cs="Times New Roman"/>
          <w:sz w:val="22"/>
          <w:szCs w:val="22"/>
        </w:rPr>
      </w:pPr>
    </w:p>
    <w:p w14:paraId="44D2E094" w14:textId="76ED8E59" w:rsidR="008D3BF6" w:rsidRPr="007D3D4F" w:rsidRDefault="008D3BF6"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Mai departe, detaliem specificul zonelor protejate, după cum urmează:</w:t>
      </w:r>
    </w:p>
    <w:p w14:paraId="40AFBDBD" w14:textId="77777777" w:rsidR="008D3BF6" w:rsidRPr="007D3D4F" w:rsidRDefault="008D3BF6" w:rsidP="004C072F">
      <w:pPr>
        <w:pStyle w:val="Smn"/>
        <w:contextualSpacing/>
        <w:rPr>
          <w:rFonts w:ascii="Times New Roman" w:hAnsi="Times New Roman" w:cs="Times New Roman"/>
          <w:sz w:val="22"/>
          <w:szCs w:val="22"/>
        </w:rPr>
      </w:pPr>
    </w:p>
    <w:p w14:paraId="68FE56AB" w14:textId="77777777" w:rsidR="008D3BF6" w:rsidRPr="007D3D4F" w:rsidRDefault="008D3BF6" w:rsidP="004C072F">
      <w:pPr>
        <w:pStyle w:val="Smn"/>
        <w:contextualSpacing/>
        <w:rPr>
          <w:rFonts w:ascii="Times New Roman" w:hAnsi="Times New Roman" w:cs="Times New Roman"/>
          <w:b/>
          <w:bCs/>
          <w:sz w:val="22"/>
          <w:szCs w:val="22"/>
        </w:rPr>
      </w:pPr>
      <w:r w:rsidRPr="007D3D4F">
        <w:rPr>
          <w:rFonts w:ascii="Times New Roman" w:hAnsi="Times New Roman" w:cs="Times New Roman"/>
          <w:b/>
          <w:bCs/>
          <w:sz w:val="22"/>
          <w:szCs w:val="22"/>
        </w:rPr>
        <w:t>1. Arii naturale protejate de interes național</w:t>
      </w:r>
    </w:p>
    <w:p w14:paraId="004FD436" w14:textId="5157B2A8" w:rsidR="008D3BF6" w:rsidRPr="007D3D4F" w:rsidRDefault="008D3BF6"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1</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w:t>
      </w:r>
      <w:r w:rsidRPr="007D3D4F">
        <w:rPr>
          <w:rFonts w:ascii="Times New Roman" w:hAnsi="Times New Roman" w:cs="Times New Roman"/>
          <w:sz w:val="22"/>
          <w:szCs w:val="22"/>
        </w:rPr>
        <w:t xml:space="preserve"> </w:t>
      </w:r>
      <w:r w:rsidRPr="007D3D4F">
        <w:rPr>
          <w:rFonts w:ascii="Times New Roman" w:hAnsi="Times New Roman" w:cs="Times New Roman"/>
          <w:b/>
          <w:bCs/>
          <w:i w:val="0"/>
          <w:iCs w:val="0"/>
          <w:color w:val="auto"/>
          <w:sz w:val="22"/>
          <w:szCs w:val="22"/>
        </w:rPr>
        <w:t>Ariile naturale protejate de interes național de pe teritoriul județului Tulcea</w:t>
      </w: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7E6E6" w:themeFill="background2"/>
        <w:tblLook w:val="04A0" w:firstRow="1" w:lastRow="0" w:firstColumn="1" w:lastColumn="0" w:noHBand="0" w:noVBand="1"/>
      </w:tblPr>
      <w:tblGrid>
        <w:gridCol w:w="1005"/>
        <w:gridCol w:w="4232"/>
        <w:gridCol w:w="2271"/>
        <w:gridCol w:w="1806"/>
      </w:tblGrid>
      <w:tr w:rsidR="008D3BF6" w:rsidRPr="007D3D4F" w14:paraId="694CFBFA" w14:textId="77777777" w:rsidTr="00A558EE">
        <w:trPr>
          <w:tblHeader/>
          <w:jc w:val="center"/>
        </w:trPr>
        <w:tc>
          <w:tcPr>
            <w:tcW w:w="0" w:type="auto"/>
            <w:shd w:val="clear" w:color="auto" w:fill="3B3838" w:themeFill="background2" w:themeFillShade="40"/>
            <w:vAlign w:val="center"/>
          </w:tcPr>
          <w:p w14:paraId="118CD949"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Nr. crt</w:t>
            </w:r>
          </w:p>
        </w:tc>
        <w:tc>
          <w:tcPr>
            <w:tcW w:w="0" w:type="auto"/>
            <w:shd w:val="clear" w:color="auto" w:fill="3B3838" w:themeFill="background2" w:themeFillShade="40"/>
            <w:vAlign w:val="center"/>
          </w:tcPr>
          <w:p w14:paraId="63788BCD"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Denumire</w:t>
            </w:r>
          </w:p>
        </w:tc>
        <w:tc>
          <w:tcPr>
            <w:tcW w:w="0" w:type="auto"/>
            <w:shd w:val="clear" w:color="auto" w:fill="3B3838" w:themeFill="background2" w:themeFillShade="40"/>
            <w:vAlign w:val="center"/>
          </w:tcPr>
          <w:p w14:paraId="22982E38"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Cod arie protejată</w:t>
            </w:r>
          </w:p>
        </w:tc>
        <w:tc>
          <w:tcPr>
            <w:tcW w:w="0" w:type="auto"/>
            <w:shd w:val="clear" w:color="auto" w:fill="3B3838" w:themeFill="background2" w:themeFillShade="40"/>
            <w:vAlign w:val="center"/>
          </w:tcPr>
          <w:p w14:paraId="4331D1DE"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Suprafață (ha)</w:t>
            </w:r>
          </w:p>
        </w:tc>
      </w:tr>
      <w:tr w:rsidR="008D3BF6" w:rsidRPr="007D3D4F" w14:paraId="6F654A17" w14:textId="77777777" w:rsidTr="00A558EE">
        <w:trPr>
          <w:jc w:val="center"/>
        </w:trPr>
        <w:tc>
          <w:tcPr>
            <w:tcW w:w="0" w:type="auto"/>
            <w:shd w:val="clear" w:color="auto" w:fill="E7E6E6" w:themeFill="background2"/>
            <w:vAlign w:val="center"/>
          </w:tcPr>
          <w:p w14:paraId="496B86DA"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3D213BA7"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Parcul Național Munții Măcinului</w:t>
            </w:r>
          </w:p>
        </w:tc>
        <w:tc>
          <w:tcPr>
            <w:tcW w:w="0" w:type="auto"/>
            <w:shd w:val="clear" w:color="auto" w:fill="E7E6E6" w:themeFill="background2"/>
            <w:vAlign w:val="center"/>
          </w:tcPr>
          <w:p w14:paraId="3EFA431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RONPA0016</w:t>
            </w:r>
          </w:p>
        </w:tc>
        <w:tc>
          <w:tcPr>
            <w:tcW w:w="0" w:type="auto"/>
            <w:shd w:val="clear" w:color="auto" w:fill="E7E6E6" w:themeFill="background2"/>
            <w:vAlign w:val="center"/>
          </w:tcPr>
          <w:p w14:paraId="21EBD55E"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11.321</w:t>
            </w:r>
          </w:p>
        </w:tc>
      </w:tr>
      <w:tr w:rsidR="008D3BF6" w:rsidRPr="007D3D4F" w14:paraId="3070503E" w14:textId="77777777" w:rsidTr="00A558EE">
        <w:trPr>
          <w:jc w:val="center"/>
        </w:trPr>
        <w:tc>
          <w:tcPr>
            <w:tcW w:w="0" w:type="auto"/>
            <w:shd w:val="clear" w:color="auto" w:fill="E7E6E6" w:themeFill="background2"/>
            <w:vAlign w:val="center"/>
          </w:tcPr>
          <w:p w14:paraId="1BD8577C"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55A0DEBA"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Pădurea “Valea Fagilor”</w:t>
            </w:r>
          </w:p>
        </w:tc>
        <w:tc>
          <w:tcPr>
            <w:tcW w:w="0" w:type="auto"/>
            <w:shd w:val="clear" w:color="auto" w:fill="E7E6E6" w:themeFill="background2"/>
            <w:vAlign w:val="center"/>
          </w:tcPr>
          <w:p w14:paraId="178D65A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RONPA0781</w:t>
            </w:r>
          </w:p>
        </w:tc>
        <w:tc>
          <w:tcPr>
            <w:tcW w:w="0" w:type="auto"/>
            <w:shd w:val="clear" w:color="auto" w:fill="E7E6E6" w:themeFill="background2"/>
            <w:vAlign w:val="center"/>
          </w:tcPr>
          <w:p w14:paraId="2680A616"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154</w:t>
            </w:r>
          </w:p>
        </w:tc>
      </w:tr>
      <w:tr w:rsidR="008D3BF6" w:rsidRPr="007D3D4F" w14:paraId="448F78A3" w14:textId="77777777" w:rsidTr="00A558EE">
        <w:trPr>
          <w:jc w:val="center"/>
        </w:trPr>
        <w:tc>
          <w:tcPr>
            <w:tcW w:w="0" w:type="auto"/>
            <w:shd w:val="clear" w:color="auto" w:fill="E7E6E6" w:themeFill="background2"/>
            <w:vAlign w:val="center"/>
          </w:tcPr>
          <w:p w14:paraId="5FC3217B"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5BE8460C"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Rezervația botanică “Korum Tarla”</w:t>
            </w:r>
          </w:p>
        </w:tc>
        <w:tc>
          <w:tcPr>
            <w:tcW w:w="0" w:type="auto"/>
            <w:shd w:val="clear" w:color="auto" w:fill="E7E6E6" w:themeFill="background2"/>
            <w:vAlign w:val="center"/>
          </w:tcPr>
          <w:p w14:paraId="78D41671"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RONPA0786</w:t>
            </w:r>
          </w:p>
        </w:tc>
        <w:tc>
          <w:tcPr>
            <w:tcW w:w="0" w:type="auto"/>
            <w:shd w:val="clear" w:color="auto" w:fill="E7E6E6" w:themeFill="background2"/>
            <w:vAlign w:val="center"/>
          </w:tcPr>
          <w:p w14:paraId="7B6DF651"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2</w:t>
            </w:r>
          </w:p>
        </w:tc>
      </w:tr>
      <w:tr w:rsidR="008D3BF6" w:rsidRPr="007D3D4F" w14:paraId="4C88ADA7" w14:textId="77777777" w:rsidTr="00A558EE">
        <w:trPr>
          <w:jc w:val="center"/>
        </w:trPr>
        <w:tc>
          <w:tcPr>
            <w:tcW w:w="0" w:type="auto"/>
            <w:shd w:val="clear" w:color="auto" w:fill="E7E6E6" w:themeFill="background2"/>
            <w:vAlign w:val="center"/>
          </w:tcPr>
          <w:p w14:paraId="4F13DEC1"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48556E46"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Locul fosilifer Dealul Bujoarele</w:t>
            </w:r>
          </w:p>
        </w:tc>
        <w:tc>
          <w:tcPr>
            <w:tcW w:w="0" w:type="auto"/>
            <w:shd w:val="clear" w:color="auto" w:fill="E7E6E6" w:themeFill="background2"/>
            <w:vAlign w:val="center"/>
          </w:tcPr>
          <w:p w14:paraId="10745D4E"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RONPA0787</w:t>
            </w:r>
          </w:p>
        </w:tc>
        <w:tc>
          <w:tcPr>
            <w:tcW w:w="0" w:type="auto"/>
            <w:shd w:val="clear" w:color="auto" w:fill="E7E6E6" w:themeFill="background2"/>
            <w:vAlign w:val="center"/>
          </w:tcPr>
          <w:p w14:paraId="5B2C4610"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8</w:t>
            </w:r>
          </w:p>
        </w:tc>
      </w:tr>
      <w:tr w:rsidR="008D3BF6" w:rsidRPr="007D3D4F" w14:paraId="05ED5C9D" w14:textId="77777777" w:rsidTr="00A558EE">
        <w:trPr>
          <w:jc w:val="center"/>
        </w:trPr>
        <w:tc>
          <w:tcPr>
            <w:tcW w:w="0" w:type="auto"/>
            <w:shd w:val="clear" w:color="auto" w:fill="E7E6E6" w:themeFill="background2"/>
            <w:vAlign w:val="center"/>
          </w:tcPr>
          <w:p w14:paraId="327AB157"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27F22FFF"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Rezervația geologică “Agighiol”</w:t>
            </w:r>
          </w:p>
        </w:tc>
        <w:tc>
          <w:tcPr>
            <w:tcW w:w="0" w:type="auto"/>
            <w:shd w:val="clear" w:color="auto" w:fill="E7E6E6" w:themeFill="background2"/>
            <w:vAlign w:val="center"/>
          </w:tcPr>
          <w:p w14:paraId="112817DD"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RONPA0788</w:t>
            </w:r>
          </w:p>
        </w:tc>
        <w:tc>
          <w:tcPr>
            <w:tcW w:w="0" w:type="auto"/>
            <w:shd w:val="clear" w:color="auto" w:fill="E7E6E6" w:themeFill="background2"/>
            <w:vAlign w:val="center"/>
          </w:tcPr>
          <w:p w14:paraId="4A28450A"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9,7</w:t>
            </w:r>
          </w:p>
        </w:tc>
      </w:tr>
      <w:tr w:rsidR="008D3BF6" w:rsidRPr="007D3D4F" w14:paraId="79B0097B" w14:textId="77777777" w:rsidTr="00A558EE">
        <w:trPr>
          <w:jc w:val="center"/>
        </w:trPr>
        <w:tc>
          <w:tcPr>
            <w:tcW w:w="0" w:type="auto"/>
            <w:shd w:val="clear" w:color="auto" w:fill="E7E6E6" w:themeFill="background2"/>
            <w:vAlign w:val="center"/>
          </w:tcPr>
          <w:p w14:paraId="7E06AD8D"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613CF51A"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Vârful Secaru</w:t>
            </w:r>
          </w:p>
        </w:tc>
        <w:tc>
          <w:tcPr>
            <w:tcW w:w="0" w:type="auto"/>
            <w:shd w:val="clear" w:color="auto" w:fill="E7E6E6" w:themeFill="background2"/>
            <w:vAlign w:val="center"/>
          </w:tcPr>
          <w:p w14:paraId="7A93E27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RONPA0785</w:t>
            </w:r>
          </w:p>
        </w:tc>
        <w:tc>
          <w:tcPr>
            <w:tcW w:w="0" w:type="auto"/>
            <w:shd w:val="clear" w:color="auto" w:fill="E7E6E6" w:themeFill="background2"/>
            <w:vAlign w:val="center"/>
          </w:tcPr>
          <w:p w14:paraId="16634739"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34,5</w:t>
            </w:r>
          </w:p>
        </w:tc>
      </w:tr>
      <w:tr w:rsidR="008D3BF6" w:rsidRPr="007D3D4F" w14:paraId="0F7D0F71" w14:textId="77777777" w:rsidTr="00A558EE">
        <w:trPr>
          <w:jc w:val="center"/>
        </w:trPr>
        <w:tc>
          <w:tcPr>
            <w:tcW w:w="0" w:type="auto"/>
            <w:shd w:val="clear" w:color="auto" w:fill="E7E6E6" w:themeFill="background2"/>
            <w:vAlign w:val="center"/>
          </w:tcPr>
          <w:p w14:paraId="7168A13A"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55FE1D7D"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Rezervația de liliac “Fântâna Mare”</w:t>
            </w:r>
          </w:p>
        </w:tc>
        <w:tc>
          <w:tcPr>
            <w:tcW w:w="0" w:type="auto"/>
            <w:shd w:val="clear" w:color="auto" w:fill="E7E6E6" w:themeFill="background2"/>
            <w:vAlign w:val="center"/>
          </w:tcPr>
          <w:p w14:paraId="10BE2226"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RONPA0784</w:t>
            </w:r>
          </w:p>
        </w:tc>
        <w:tc>
          <w:tcPr>
            <w:tcW w:w="0" w:type="auto"/>
            <w:shd w:val="clear" w:color="auto" w:fill="E7E6E6" w:themeFill="background2"/>
            <w:vAlign w:val="center"/>
          </w:tcPr>
          <w:p w14:paraId="6930C83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0,3</w:t>
            </w:r>
          </w:p>
        </w:tc>
      </w:tr>
      <w:tr w:rsidR="008D3BF6" w:rsidRPr="007D3D4F" w14:paraId="040D88BC" w14:textId="77777777" w:rsidTr="00A558EE">
        <w:trPr>
          <w:jc w:val="center"/>
        </w:trPr>
        <w:tc>
          <w:tcPr>
            <w:tcW w:w="0" w:type="auto"/>
            <w:shd w:val="clear" w:color="auto" w:fill="E7E6E6" w:themeFill="background2"/>
            <w:vAlign w:val="center"/>
          </w:tcPr>
          <w:p w14:paraId="4BC61D65"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0A628024"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Rezervația de liliac “Valea Oilor”</w:t>
            </w:r>
          </w:p>
        </w:tc>
        <w:tc>
          <w:tcPr>
            <w:tcW w:w="0" w:type="auto"/>
            <w:shd w:val="clear" w:color="auto" w:fill="E7E6E6" w:themeFill="background2"/>
            <w:vAlign w:val="center"/>
          </w:tcPr>
          <w:p w14:paraId="7FDA8D6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RONPA0783</w:t>
            </w:r>
          </w:p>
        </w:tc>
        <w:tc>
          <w:tcPr>
            <w:tcW w:w="0" w:type="auto"/>
            <w:shd w:val="clear" w:color="auto" w:fill="E7E6E6" w:themeFill="background2"/>
            <w:vAlign w:val="center"/>
          </w:tcPr>
          <w:p w14:paraId="7E6F0486"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0,35</w:t>
            </w:r>
          </w:p>
        </w:tc>
      </w:tr>
      <w:tr w:rsidR="008D3BF6" w:rsidRPr="007D3D4F" w14:paraId="6FD9F7C9" w14:textId="77777777" w:rsidTr="00A558EE">
        <w:trPr>
          <w:jc w:val="center"/>
        </w:trPr>
        <w:tc>
          <w:tcPr>
            <w:tcW w:w="0" w:type="auto"/>
            <w:shd w:val="clear" w:color="auto" w:fill="E7E6E6" w:themeFill="background2"/>
            <w:vAlign w:val="center"/>
          </w:tcPr>
          <w:p w14:paraId="1643581C"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3097EC69"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Rezervația naturală “Dealul Bujorului”</w:t>
            </w:r>
          </w:p>
        </w:tc>
        <w:tc>
          <w:tcPr>
            <w:tcW w:w="0" w:type="auto"/>
            <w:shd w:val="clear" w:color="auto" w:fill="E7E6E6" w:themeFill="background2"/>
            <w:vAlign w:val="center"/>
          </w:tcPr>
          <w:p w14:paraId="4F554180"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RONPA0782</w:t>
            </w:r>
          </w:p>
        </w:tc>
        <w:tc>
          <w:tcPr>
            <w:tcW w:w="0" w:type="auto"/>
            <w:shd w:val="clear" w:color="auto" w:fill="E7E6E6" w:themeFill="background2"/>
            <w:vAlign w:val="center"/>
          </w:tcPr>
          <w:p w14:paraId="14BE9EAC"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50,8</w:t>
            </w:r>
          </w:p>
        </w:tc>
      </w:tr>
      <w:tr w:rsidR="008D3BF6" w:rsidRPr="007D3D4F" w14:paraId="08C41013" w14:textId="77777777" w:rsidTr="00A558EE">
        <w:trPr>
          <w:jc w:val="center"/>
        </w:trPr>
        <w:tc>
          <w:tcPr>
            <w:tcW w:w="0" w:type="auto"/>
            <w:shd w:val="clear" w:color="auto" w:fill="E7E6E6" w:themeFill="background2"/>
            <w:vAlign w:val="center"/>
          </w:tcPr>
          <w:p w14:paraId="1803C8EB"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643F8C40"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Pădurea Niculitel</w:t>
            </w:r>
          </w:p>
        </w:tc>
        <w:tc>
          <w:tcPr>
            <w:tcW w:w="0" w:type="auto"/>
            <w:shd w:val="clear" w:color="auto" w:fill="E7E6E6" w:themeFill="background2"/>
            <w:vAlign w:val="center"/>
          </w:tcPr>
          <w:p w14:paraId="74F46BE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RONPA0789</w:t>
            </w:r>
          </w:p>
        </w:tc>
        <w:tc>
          <w:tcPr>
            <w:tcW w:w="0" w:type="auto"/>
            <w:shd w:val="clear" w:color="auto" w:fill="E7E6E6" w:themeFill="background2"/>
            <w:vAlign w:val="center"/>
          </w:tcPr>
          <w:p w14:paraId="5FDBA7DF"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11</w:t>
            </w:r>
          </w:p>
        </w:tc>
      </w:tr>
      <w:tr w:rsidR="008D3BF6" w:rsidRPr="007D3D4F" w14:paraId="5AD57B98" w14:textId="77777777" w:rsidTr="00A558EE">
        <w:trPr>
          <w:jc w:val="center"/>
        </w:trPr>
        <w:tc>
          <w:tcPr>
            <w:tcW w:w="0" w:type="auto"/>
            <w:shd w:val="clear" w:color="auto" w:fill="E7E6E6" w:themeFill="background2"/>
            <w:vAlign w:val="center"/>
          </w:tcPr>
          <w:p w14:paraId="64A95841"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4FABAE06"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Pădurea Babadag-Codru</w:t>
            </w:r>
          </w:p>
        </w:tc>
        <w:tc>
          <w:tcPr>
            <w:tcW w:w="0" w:type="auto"/>
            <w:shd w:val="clear" w:color="auto" w:fill="E7E6E6" w:themeFill="background2"/>
            <w:vAlign w:val="center"/>
          </w:tcPr>
          <w:p w14:paraId="083FF20D"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RONPA0900</w:t>
            </w:r>
          </w:p>
        </w:tc>
        <w:tc>
          <w:tcPr>
            <w:tcW w:w="0" w:type="auto"/>
            <w:shd w:val="clear" w:color="auto" w:fill="E7E6E6" w:themeFill="background2"/>
            <w:vAlign w:val="center"/>
          </w:tcPr>
          <w:p w14:paraId="18359658"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524,6</w:t>
            </w:r>
          </w:p>
        </w:tc>
      </w:tr>
      <w:tr w:rsidR="008D3BF6" w:rsidRPr="007D3D4F" w14:paraId="095EF9D7" w14:textId="77777777" w:rsidTr="00A558EE">
        <w:trPr>
          <w:jc w:val="center"/>
        </w:trPr>
        <w:tc>
          <w:tcPr>
            <w:tcW w:w="0" w:type="auto"/>
            <w:shd w:val="clear" w:color="auto" w:fill="E7E6E6" w:themeFill="background2"/>
            <w:vAlign w:val="center"/>
          </w:tcPr>
          <w:p w14:paraId="4AF356F3"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745B9538"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Lacul Traian</w:t>
            </w:r>
          </w:p>
        </w:tc>
        <w:tc>
          <w:tcPr>
            <w:tcW w:w="0" w:type="auto"/>
            <w:shd w:val="clear" w:color="auto" w:fill="E7E6E6" w:themeFill="background2"/>
            <w:vAlign w:val="center"/>
          </w:tcPr>
          <w:p w14:paraId="78788997"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RONPA0901</w:t>
            </w:r>
          </w:p>
        </w:tc>
        <w:tc>
          <w:tcPr>
            <w:tcW w:w="0" w:type="auto"/>
            <w:shd w:val="clear" w:color="auto" w:fill="E7E6E6" w:themeFill="background2"/>
            <w:vAlign w:val="center"/>
          </w:tcPr>
          <w:p w14:paraId="4343569F"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326</w:t>
            </w:r>
          </w:p>
        </w:tc>
      </w:tr>
      <w:tr w:rsidR="008D3BF6" w:rsidRPr="007D3D4F" w14:paraId="37D2D2CD" w14:textId="77777777" w:rsidTr="00A558EE">
        <w:trPr>
          <w:jc w:val="center"/>
        </w:trPr>
        <w:tc>
          <w:tcPr>
            <w:tcW w:w="0" w:type="auto"/>
            <w:shd w:val="clear" w:color="auto" w:fill="E7E6E6" w:themeFill="background2"/>
            <w:vAlign w:val="center"/>
          </w:tcPr>
          <w:p w14:paraId="1BA36C0C"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6774D203"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Muchiile Cernei-Iaila</w:t>
            </w:r>
          </w:p>
        </w:tc>
        <w:tc>
          <w:tcPr>
            <w:tcW w:w="0" w:type="auto"/>
            <w:shd w:val="clear" w:color="auto" w:fill="E7E6E6" w:themeFill="background2"/>
            <w:vAlign w:val="center"/>
          </w:tcPr>
          <w:p w14:paraId="07A9AC2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RONPA0902</w:t>
            </w:r>
          </w:p>
        </w:tc>
        <w:tc>
          <w:tcPr>
            <w:tcW w:w="0" w:type="auto"/>
            <w:shd w:val="clear" w:color="auto" w:fill="E7E6E6" w:themeFill="background2"/>
            <w:vAlign w:val="center"/>
          </w:tcPr>
          <w:p w14:paraId="133D7589"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1.891</w:t>
            </w:r>
          </w:p>
        </w:tc>
      </w:tr>
      <w:tr w:rsidR="008D3BF6" w:rsidRPr="007D3D4F" w14:paraId="5FC12A2A" w14:textId="77777777" w:rsidTr="00A558EE">
        <w:trPr>
          <w:jc w:val="center"/>
        </w:trPr>
        <w:tc>
          <w:tcPr>
            <w:tcW w:w="0" w:type="auto"/>
            <w:shd w:val="clear" w:color="auto" w:fill="E7E6E6" w:themeFill="background2"/>
            <w:vAlign w:val="center"/>
          </w:tcPr>
          <w:p w14:paraId="2DEDC7A2"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16105E6E"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Beidaud</w:t>
            </w:r>
          </w:p>
        </w:tc>
        <w:tc>
          <w:tcPr>
            <w:tcW w:w="0" w:type="auto"/>
            <w:shd w:val="clear" w:color="auto" w:fill="E7E6E6" w:themeFill="background2"/>
            <w:vAlign w:val="center"/>
          </w:tcPr>
          <w:p w14:paraId="0D036DDE"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RONPA0903</w:t>
            </w:r>
          </w:p>
        </w:tc>
        <w:tc>
          <w:tcPr>
            <w:tcW w:w="0" w:type="auto"/>
            <w:shd w:val="clear" w:color="auto" w:fill="E7E6E6" w:themeFill="background2"/>
            <w:vAlign w:val="center"/>
          </w:tcPr>
          <w:p w14:paraId="579A913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1.121</w:t>
            </w:r>
          </w:p>
        </w:tc>
      </w:tr>
      <w:tr w:rsidR="008D3BF6" w:rsidRPr="007D3D4F" w14:paraId="3089F487" w14:textId="77777777" w:rsidTr="00A558EE">
        <w:trPr>
          <w:jc w:val="center"/>
        </w:trPr>
        <w:tc>
          <w:tcPr>
            <w:tcW w:w="0" w:type="auto"/>
            <w:shd w:val="clear" w:color="auto" w:fill="E7E6E6" w:themeFill="background2"/>
            <w:vAlign w:val="center"/>
          </w:tcPr>
          <w:p w14:paraId="107B88E5"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6E3F616D"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Valea Mahomencea</w:t>
            </w:r>
          </w:p>
        </w:tc>
        <w:tc>
          <w:tcPr>
            <w:tcW w:w="0" w:type="auto"/>
            <w:shd w:val="clear" w:color="auto" w:fill="E7E6E6" w:themeFill="background2"/>
            <w:vAlign w:val="center"/>
          </w:tcPr>
          <w:p w14:paraId="1089813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RONPA0904</w:t>
            </w:r>
          </w:p>
        </w:tc>
        <w:tc>
          <w:tcPr>
            <w:tcW w:w="0" w:type="auto"/>
            <w:shd w:val="clear" w:color="auto" w:fill="E7E6E6" w:themeFill="background2"/>
            <w:vAlign w:val="center"/>
          </w:tcPr>
          <w:p w14:paraId="062E128A"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1.029</w:t>
            </w:r>
          </w:p>
        </w:tc>
      </w:tr>
      <w:tr w:rsidR="008D3BF6" w:rsidRPr="007D3D4F" w14:paraId="7DA2BE4A" w14:textId="77777777" w:rsidTr="00A558EE">
        <w:trPr>
          <w:jc w:val="center"/>
        </w:trPr>
        <w:tc>
          <w:tcPr>
            <w:tcW w:w="0" w:type="auto"/>
            <w:shd w:val="clear" w:color="auto" w:fill="E7E6E6" w:themeFill="background2"/>
            <w:vAlign w:val="center"/>
          </w:tcPr>
          <w:p w14:paraId="3776A1F4"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5D2FEF58"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Dealul Ghiunghiurmez</w:t>
            </w:r>
          </w:p>
        </w:tc>
        <w:tc>
          <w:tcPr>
            <w:tcW w:w="0" w:type="auto"/>
            <w:shd w:val="clear" w:color="auto" w:fill="E7E6E6" w:themeFill="background2"/>
            <w:vAlign w:val="center"/>
          </w:tcPr>
          <w:p w14:paraId="12FDFDC7"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RONPA0905</w:t>
            </w:r>
          </w:p>
        </w:tc>
        <w:tc>
          <w:tcPr>
            <w:tcW w:w="0" w:type="auto"/>
            <w:shd w:val="clear" w:color="auto" w:fill="E7E6E6" w:themeFill="background2"/>
            <w:vAlign w:val="center"/>
          </w:tcPr>
          <w:p w14:paraId="34FD89F8"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1.421</w:t>
            </w:r>
          </w:p>
        </w:tc>
      </w:tr>
      <w:tr w:rsidR="008D3BF6" w:rsidRPr="007D3D4F" w14:paraId="515861A0" w14:textId="77777777" w:rsidTr="00A558EE">
        <w:trPr>
          <w:jc w:val="center"/>
        </w:trPr>
        <w:tc>
          <w:tcPr>
            <w:tcW w:w="0" w:type="auto"/>
            <w:shd w:val="clear" w:color="auto" w:fill="E7E6E6" w:themeFill="background2"/>
            <w:vAlign w:val="center"/>
          </w:tcPr>
          <w:p w14:paraId="676B1CDC"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133F070E"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Chervant-Priopcea</w:t>
            </w:r>
          </w:p>
        </w:tc>
        <w:tc>
          <w:tcPr>
            <w:tcW w:w="0" w:type="auto"/>
            <w:shd w:val="clear" w:color="auto" w:fill="E7E6E6" w:themeFill="background2"/>
            <w:vAlign w:val="center"/>
          </w:tcPr>
          <w:p w14:paraId="73FE6379"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RONPA0906</w:t>
            </w:r>
          </w:p>
        </w:tc>
        <w:tc>
          <w:tcPr>
            <w:tcW w:w="0" w:type="auto"/>
            <w:shd w:val="clear" w:color="auto" w:fill="E7E6E6" w:themeFill="background2"/>
            <w:vAlign w:val="center"/>
          </w:tcPr>
          <w:p w14:paraId="013B0C6D"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568</w:t>
            </w:r>
          </w:p>
        </w:tc>
      </w:tr>
      <w:tr w:rsidR="008D3BF6" w:rsidRPr="007D3D4F" w14:paraId="129444CC" w14:textId="77777777" w:rsidTr="00A558EE">
        <w:trPr>
          <w:jc w:val="center"/>
        </w:trPr>
        <w:tc>
          <w:tcPr>
            <w:tcW w:w="0" w:type="auto"/>
            <w:shd w:val="clear" w:color="auto" w:fill="E7E6E6" w:themeFill="background2"/>
            <w:vAlign w:val="center"/>
          </w:tcPr>
          <w:p w14:paraId="46A62186"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6E60F448"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Călugăru-Iancina</w:t>
            </w:r>
          </w:p>
        </w:tc>
        <w:tc>
          <w:tcPr>
            <w:tcW w:w="0" w:type="auto"/>
            <w:shd w:val="clear" w:color="auto" w:fill="E7E6E6" w:themeFill="background2"/>
            <w:vAlign w:val="center"/>
          </w:tcPr>
          <w:p w14:paraId="18886FDC"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RONPA0907</w:t>
            </w:r>
          </w:p>
        </w:tc>
        <w:tc>
          <w:tcPr>
            <w:tcW w:w="0" w:type="auto"/>
            <w:shd w:val="clear" w:color="auto" w:fill="E7E6E6" w:themeFill="background2"/>
            <w:vAlign w:val="center"/>
          </w:tcPr>
          <w:p w14:paraId="45380E95"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130</w:t>
            </w:r>
          </w:p>
        </w:tc>
      </w:tr>
      <w:tr w:rsidR="008D3BF6" w:rsidRPr="007D3D4F" w14:paraId="397DE192" w14:textId="77777777" w:rsidTr="00A558EE">
        <w:trPr>
          <w:jc w:val="center"/>
        </w:trPr>
        <w:tc>
          <w:tcPr>
            <w:tcW w:w="0" w:type="auto"/>
            <w:shd w:val="clear" w:color="auto" w:fill="E7E6E6" w:themeFill="background2"/>
            <w:vAlign w:val="center"/>
          </w:tcPr>
          <w:p w14:paraId="5D1FF157"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2D7A8F64"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Muntele Consul</w:t>
            </w:r>
          </w:p>
        </w:tc>
        <w:tc>
          <w:tcPr>
            <w:tcW w:w="0" w:type="auto"/>
            <w:shd w:val="clear" w:color="auto" w:fill="E7E6E6" w:themeFill="background2"/>
            <w:vAlign w:val="center"/>
          </w:tcPr>
          <w:p w14:paraId="51DBC1AC"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RONPA0908</w:t>
            </w:r>
          </w:p>
        </w:tc>
        <w:tc>
          <w:tcPr>
            <w:tcW w:w="0" w:type="auto"/>
            <w:shd w:val="clear" w:color="auto" w:fill="E7E6E6" w:themeFill="background2"/>
            <w:vAlign w:val="center"/>
          </w:tcPr>
          <w:p w14:paraId="76A1D539"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328</w:t>
            </w:r>
          </w:p>
        </w:tc>
      </w:tr>
      <w:tr w:rsidR="008D3BF6" w:rsidRPr="007D3D4F" w14:paraId="110D3DFF" w14:textId="77777777" w:rsidTr="00A558EE">
        <w:trPr>
          <w:jc w:val="center"/>
        </w:trPr>
        <w:tc>
          <w:tcPr>
            <w:tcW w:w="0" w:type="auto"/>
            <w:shd w:val="clear" w:color="auto" w:fill="E7E6E6" w:themeFill="background2"/>
            <w:vAlign w:val="center"/>
          </w:tcPr>
          <w:p w14:paraId="2D436D3D"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0EC296C7"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Dealul Sarica</w:t>
            </w:r>
          </w:p>
        </w:tc>
        <w:tc>
          <w:tcPr>
            <w:tcW w:w="0" w:type="auto"/>
            <w:shd w:val="clear" w:color="auto" w:fill="E7E6E6" w:themeFill="background2"/>
            <w:vAlign w:val="center"/>
          </w:tcPr>
          <w:p w14:paraId="5A1F0D0F"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RONPA0909</w:t>
            </w:r>
          </w:p>
        </w:tc>
        <w:tc>
          <w:tcPr>
            <w:tcW w:w="0" w:type="auto"/>
            <w:shd w:val="clear" w:color="auto" w:fill="E7E6E6" w:themeFill="background2"/>
            <w:vAlign w:val="center"/>
          </w:tcPr>
          <w:p w14:paraId="7444DE3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100,1</w:t>
            </w:r>
          </w:p>
        </w:tc>
      </w:tr>
      <w:tr w:rsidR="008D3BF6" w:rsidRPr="007D3D4F" w14:paraId="225DE167" w14:textId="77777777" w:rsidTr="00A558EE">
        <w:trPr>
          <w:jc w:val="center"/>
        </w:trPr>
        <w:tc>
          <w:tcPr>
            <w:tcW w:w="0" w:type="auto"/>
            <w:shd w:val="clear" w:color="auto" w:fill="E7E6E6" w:themeFill="background2"/>
            <w:vAlign w:val="center"/>
          </w:tcPr>
          <w:p w14:paraId="44100FAA"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3735D728"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Dealurile Beștepe</w:t>
            </w:r>
          </w:p>
        </w:tc>
        <w:tc>
          <w:tcPr>
            <w:tcW w:w="0" w:type="auto"/>
            <w:shd w:val="clear" w:color="auto" w:fill="E7E6E6" w:themeFill="background2"/>
            <w:vAlign w:val="center"/>
          </w:tcPr>
          <w:p w14:paraId="278BF0AD"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RONPA0910</w:t>
            </w:r>
          </w:p>
        </w:tc>
        <w:tc>
          <w:tcPr>
            <w:tcW w:w="0" w:type="auto"/>
            <w:shd w:val="clear" w:color="auto" w:fill="E7E6E6" w:themeFill="background2"/>
            <w:vAlign w:val="center"/>
          </w:tcPr>
          <w:p w14:paraId="3E9CD9D7"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415</w:t>
            </w:r>
          </w:p>
        </w:tc>
      </w:tr>
      <w:tr w:rsidR="008D3BF6" w:rsidRPr="007D3D4F" w14:paraId="20D123F8" w14:textId="77777777" w:rsidTr="00A558EE">
        <w:trPr>
          <w:jc w:val="center"/>
        </w:trPr>
        <w:tc>
          <w:tcPr>
            <w:tcW w:w="0" w:type="auto"/>
            <w:shd w:val="clear" w:color="auto" w:fill="E7E6E6" w:themeFill="background2"/>
            <w:vAlign w:val="center"/>
          </w:tcPr>
          <w:p w14:paraId="069CED29"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4D42EEF9"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Enisala</w:t>
            </w:r>
          </w:p>
        </w:tc>
        <w:tc>
          <w:tcPr>
            <w:tcW w:w="0" w:type="auto"/>
            <w:shd w:val="clear" w:color="auto" w:fill="E7E6E6" w:themeFill="background2"/>
            <w:vAlign w:val="center"/>
          </w:tcPr>
          <w:p w14:paraId="1BD69F5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RONPA0911</w:t>
            </w:r>
          </w:p>
        </w:tc>
        <w:tc>
          <w:tcPr>
            <w:tcW w:w="0" w:type="auto"/>
            <w:shd w:val="clear" w:color="auto" w:fill="E7E6E6" w:themeFill="background2"/>
            <w:vAlign w:val="center"/>
          </w:tcPr>
          <w:p w14:paraId="13AAF6F7"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57</w:t>
            </w:r>
          </w:p>
        </w:tc>
      </w:tr>
      <w:tr w:rsidR="008D3BF6" w:rsidRPr="007D3D4F" w14:paraId="6036FFA3" w14:textId="77777777" w:rsidTr="00A558EE">
        <w:trPr>
          <w:jc w:val="center"/>
        </w:trPr>
        <w:tc>
          <w:tcPr>
            <w:tcW w:w="0" w:type="auto"/>
            <w:shd w:val="clear" w:color="auto" w:fill="E7E6E6" w:themeFill="background2"/>
            <w:vAlign w:val="center"/>
          </w:tcPr>
          <w:p w14:paraId="125DAA74"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2E60D0F3"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Carasan-Teke</w:t>
            </w:r>
          </w:p>
        </w:tc>
        <w:tc>
          <w:tcPr>
            <w:tcW w:w="0" w:type="auto"/>
            <w:shd w:val="clear" w:color="auto" w:fill="E7E6E6" w:themeFill="background2"/>
            <w:vAlign w:val="center"/>
          </w:tcPr>
          <w:p w14:paraId="533CC594"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RONPA0912</w:t>
            </w:r>
          </w:p>
        </w:tc>
        <w:tc>
          <w:tcPr>
            <w:tcW w:w="0" w:type="auto"/>
            <w:shd w:val="clear" w:color="auto" w:fill="E7E6E6" w:themeFill="background2"/>
            <w:vAlign w:val="center"/>
          </w:tcPr>
          <w:p w14:paraId="5D74ADA8"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244</w:t>
            </w:r>
          </w:p>
        </w:tc>
      </w:tr>
      <w:tr w:rsidR="008D3BF6" w:rsidRPr="007D3D4F" w14:paraId="6E81CAC8" w14:textId="77777777" w:rsidTr="00A558EE">
        <w:trPr>
          <w:jc w:val="center"/>
        </w:trPr>
        <w:tc>
          <w:tcPr>
            <w:tcW w:w="0" w:type="auto"/>
            <w:shd w:val="clear" w:color="auto" w:fill="E7E6E6" w:themeFill="background2"/>
            <w:vAlign w:val="center"/>
          </w:tcPr>
          <w:p w14:paraId="38FA08DA"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6B32579A"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Valea Ostrovului</w:t>
            </w:r>
          </w:p>
        </w:tc>
        <w:tc>
          <w:tcPr>
            <w:tcW w:w="0" w:type="auto"/>
            <w:shd w:val="clear" w:color="auto" w:fill="E7E6E6" w:themeFill="background2"/>
            <w:vAlign w:val="center"/>
          </w:tcPr>
          <w:p w14:paraId="0557A8EF"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RONPA0913</w:t>
            </w:r>
          </w:p>
        </w:tc>
        <w:tc>
          <w:tcPr>
            <w:tcW w:w="0" w:type="auto"/>
            <w:shd w:val="clear" w:color="auto" w:fill="E7E6E6" w:themeFill="background2"/>
            <w:vAlign w:val="center"/>
          </w:tcPr>
          <w:p w14:paraId="0EF88137"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61,8</w:t>
            </w:r>
          </w:p>
        </w:tc>
      </w:tr>
      <w:tr w:rsidR="008D3BF6" w:rsidRPr="007D3D4F" w14:paraId="2F65852F" w14:textId="77777777" w:rsidTr="00A558EE">
        <w:trPr>
          <w:jc w:val="center"/>
        </w:trPr>
        <w:tc>
          <w:tcPr>
            <w:tcW w:w="0" w:type="auto"/>
            <w:shd w:val="clear" w:color="auto" w:fill="E7E6E6" w:themeFill="background2"/>
            <w:vAlign w:val="center"/>
          </w:tcPr>
          <w:p w14:paraId="044D5684"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25FCC32C"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Uspenia</w:t>
            </w:r>
          </w:p>
        </w:tc>
        <w:tc>
          <w:tcPr>
            <w:tcW w:w="0" w:type="auto"/>
            <w:shd w:val="clear" w:color="auto" w:fill="E7E6E6" w:themeFill="background2"/>
            <w:vAlign w:val="center"/>
          </w:tcPr>
          <w:p w14:paraId="6CD831D1"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RONPA0914</w:t>
            </w:r>
          </w:p>
        </w:tc>
        <w:tc>
          <w:tcPr>
            <w:tcW w:w="0" w:type="auto"/>
            <w:shd w:val="clear" w:color="auto" w:fill="E7E6E6" w:themeFill="background2"/>
            <w:vAlign w:val="center"/>
          </w:tcPr>
          <w:p w14:paraId="3CFC2007"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22</w:t>
            </w:r>
          </w:p>
        </w:tc>
      </w:tr>
      <w:tr w:rsidR="008D3BF6" w:rsidRPr="007D3D4F" w14:paraId="7F41273A" w14:textId="77777777" w:rsidTr="00A558EE">
        <w:trPr>
          <w:jc w:val="center"/>
        </w:trPr>
        <w:tc>
          <w:tcPr>
            <w:tcW w:w="0" w:type="auto"/>
            <w:shd w:val="clear" w:color="auto" w:fill="E7E6E6" w:themeFill="background2"/>
            <w:vAlign w:val="center"/>
          </w:tcPr>
          <w:p w14:paraId="64B33157"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4978CB91"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Edirlen</w:t>
            </w:r>
          </w:p>
        </w:tc>
        <w:tc>
          <w:tcPr>
            <w:tcW w:w="0" w:type="auto"/>
            <w:shd w:val="clear" w:color="auto" w:fill="E7E6E6" w:themeFill="background2"/>
            <w:vAlign w:val="center"/>
          </w:tcPr>
          <w:p w14:paraId="3A266845"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RONPA0915</w:t>
            </w:r>
          </w:p>
        </w:tc>
        <w:tc>
          <w:tcPr>
            <w:tcW w:w="0" w:type="auto"/>
            <w:shd w:val="clear" w:color="auto" w:fill="E7E6E6" w:themeFill="background2"/>
            <w:vAlign w:val="center"/>
          </w:tcPr>
          <w:p w14:paraId="6E7AFCCD"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25,5</w:t>
            </w:r>
          </w:p>
        </w:tc>
      </w:tr>
      <w:tr w:rsidR="008D3BF6" w:rsidRPr="007D3D4F" w14:paraId="2316AA17" w14:textId="77777777" w:rsidTr="00A558EE">
        <w:trPr>
          <w:jc w:val="center"/>
        </w:trPr>
        <w:tc>
          <w:tcPr>
            <w:tcW w:w="0" w:type="auto"/>
            <w:shd w:val="clear" w:color="auto" w:fill="E7E6E6" w:themeFill="background2"/>
            <w:vAlign w:val="center"/>
          </w:tcPr>
          <w:p w14:paraId="018AC580"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43C7627E"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Casimcea</w:t>
            </w:r>
          </w:p>
        </w:tc>
        <w:tc>
          <w:tcPr>
            <w:tcW w:w="0" w:type="auto"/>
            <w:shd w:val="clear" w:color="auto" w:fill="E7E6E6" w:themeFill="background2"/>
            <w:vAlign w:val="center"/>
          </w:tcPr>
          <w:p w14:paraId="531A4EF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RONPA0916</w:t>
            </w:r>
          </w:p>
        </w:tc>
        <w:tc>
          <w:tcPr>
            <w:tcW w:w="0" w:type="auto"/>
            <w:shd w:val="clear" w:color="auto" w:fill="E7E6E6" w:themeFill="background2"/>
            <w:vAlign w:val="center"/>
          </w:tcPr>
          <w:p w14:paraId="335370AF"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137</w:t>
            </w:r>
          </w:p>
        </w:tc>
      </w:tr>
      <w:tr w:rsidR="008D3BF6" w:rsidRPr="007D3D4F" w14:paraId="35FE1F94" w14:textId="77777777" w:rsidTr="00A558EE">
        <w:trPr>
          <w:jc w:val="center"/>
        </w:trPr>
        <w:tc>
          <w:tcPr>
            <w:tcW w:w="0" w:type="auto"/>
            <w:shd w:val="clear" w:color="auto" w:fill="E7E6E6" w:themeFill="background2"/>
            <w:vAlign w:val="center"/>
          </w:tcPr>
          <w:p w14:paraId="3787F6E5"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76176E0E"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Colțanii Mari</w:t>
            </w:r>
          </w:p>
        </w:tc>
        <w:tc>
          <w:tcPr>
            <w:tcW w:w="0" w:type="auto"/>
            <w:shd w:val="clear" w:color="auto" w:fill="E7E6E6" w:themeFill="background2"/>
            <w:vAlign w:val="center"/>
          </w:tcPr>
          <w:p w14:paraId="7BE5F82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RONPA0917</w:t>
            </w:r>
          </w:p>
        </w:tc>
        <w:tc>
          <w:tcPr>
            <w:tcW w:w="0" w:type="auto"/>
            <w:shd w:val="clear" w:color="auto" w:fill="E7E6E6" w:themeFill="background2"/>
            <w:vAlign w:val="center"/>
          </w:tcPr>
          <w:p w14:paraId="406D23AB"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53</w:t>
            </w:r>
          </w:p>
        </w:tc>
      </w:tr>
      <w:tr w:rsidR="008D3BF6" w:rsidRPr="007D3D4F" w14:paraId="1471B859" w14:textId="77777777" w:rsidTr="00A558EE">
        <w:trPr>
          <w:jc w:val="center"/>
        </w:trPr>
        <w:tc>
          <w:tcPr>
            <w:tcW w:w="0" w:type="auto"/>
            <w:shd w:val="clear" w:color="auto" w:fill="E7E6E6" w:themeFill="background2"/>
            <w:vAlign w:val="center"/>
          </w:tcPr>
          <w:p w14:paraId="710E3D0A"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4A48A563"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Peceneaga</w:t>
            </w:r>
          </w:p>
        </w:tc>
        <w:tc>
          <w:tcPr>
            <w:tcW w:w="0" w:type="auto"/>
            <w:shd w:val="clear" w:color="auto" w:fill="E7E6E6" w:themeFill="background2"/>
            <w:vAlign w:val="center"/>
          </w:tcPr>
          <w:p w14:paraId="5FFDB170"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RONPA0918</w:t>
            </w:r>
          </w:p>
        </w:tc>
        <w:tc>
          <w:tcPr>
            <w:tcW w:w="0" w:type="auto"/>
            <w:shd w:val="clear" w:color="auto" w:fill="E7E6E6" w:themeFill="background2"/>
            <w:vAlign w:val="center"/>
          </w:tcPr>
          <w:p w14:paraId="228CF3CD"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132</w:t>
            </w:r>
          </w:p>
        </w:tc>
      </w:tr>
      <w:tr w:rsidR="008D3BF6" w:rsidRPr="007D3D4F" w14:paraId="7AF5E53B" w14:textId="77777777" w:rsidTr="00A558EE">
        <w:trPr>
          <w:jc w:val="center"/>
        </w:trPr>
        <w:tc>
          <w:tcPr>
            <w:tcW w:w="0" w:type="auto"/>
            <w:shd w:val="clear" w:color="auto" w:fill="E7E6E6" w:themeFill="background2"/>
            <w:vAlign w:val="center"/>
          </w:tcPr>
          <w:p w14:paraId="69B9DCA3"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1A523CCC"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Măgurele</w:t>
            </w:r>
          </w:p>
        </w:tc>
        <w:tc>
          <w:tcPr>
            <w:tcW w:w="0" w:type="auto"/>
            <w:shd w:val="clear" w:color="auto" w:fill="E7E6E6" w:themeFill="background2"/>
            <w:vAlign w:val="center"/>
          </w:tcPr>
          <w:p w14:paraId="5FF320F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RONPA0919</w:t>
            </w:r>
          </w:p>
        </w:tc>
        <w:tc>
          <w:tcPr>
            <w:tcW w:w="0" w:type="auto"/>
            <w:shd w:val="clear" w:color="auto" w:fill="E7E6E6" w:themeFill="background2"/>
            <w:vAlign w:val="center"/>
          </w:tcPr>
          <w:p w14:paraId="0D43BEA8"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292</w:t>
            </w:r>
          </w:p>
        </w:tc>
      </w:tr>
      <w:tr w:rsidR="008D3BF6" w:rsidRPr="007D3D4F" w14:paraId="2B27B227" w14:textId="77777777" w:rsidTr="00A558EE">
        <w:trPr>
          <w:jc w:val="center"/>
        </w:trPr>
        <w:tc>
          <w:tcPr>
            <w:tcW w:w="0" w:type="auto"/>
            <w:shd w:val="clear" w:color="auto" w:fill="E7E6E6" w:themeFill="background2"/>
            <w:vAlign w:val="center"/>
          </w:tcPr>
          <w:p w14:paraId="4667FD19"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1E657AE1"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Războieni</w:t>
            </w:r>
          </w:p>
        </w:tc>
        <w:tc>
          <w:tcPr>
            <w:tcW w:w="0" w:type="auto"/>
            <w:shd w:val="clear" w:color="auto" w:fill="E7E6E6" w:themeFill="background2"/>
            <w:vAlign w:val="center"/>
          </w:tcPr>
          <w:p w14:paraId="3627D890"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RONPA0920</w:t>
            </w:r>
          </w:p>
        </w:tc>
        <w:tc>
          <w:tcPr>
            <w:tcW w:w="0" w:type="auto"/>
            <w:shd w:val="clear" w:color="auto" w:fill="E7E6E6" w:themeFill="background2"/>
            <w:vAlign w:val="center"/>
          </w:tcPr>
          <w:p w14:paraId="31ABE97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41</w:t>
            </w:r>
          </w:p>
        </w:tc>
      </w:tr>
      <w:tr w:rsidR="008D3BF6" w:rsidRPr="007D3D4F" w14:paraId="7E7038FF" w14:textId="77777777" w:rsidTr="00A558EE">
        <w:trPr>
          <w:jc w:val="center"/>
        </w:trPr>
        <w:tc>
          <w:tcPr>
            <w:tcW w:w="0" w:type="auto"/>
            <w:shd w:val="clear" w:color="auto" w:fill="E7E6E6" w:themeFill="background2"/>
            <w:vAlign w:val="center"/>
          </w:tcPr>
          <w:p w14:paraId="2CEA3FB0"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3199FB49"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Dealul Deniz Tepe</w:t>
            </w:r>
          </w:p>
        </w:tc>
        <w:tc>
          <w:tcPr>
            <w:tcW w:w="0" w:type="auto"/>
            <w:shd w:val="clear" w:color="auto" w:fill="E7E6E6" w:themeFill="background2"/>
            <w:vAlign w:val="center"/>
          </w:tcPr>
          <w:p w14:paraId="7B49E9C5"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RONPA0921</w:t>
            </w:r>
          </w:p>
        </w:tc>
        <w:tc>
          <w:tcPr>
            <w:tcW w:w="0" w:type="auto"/>
            <w:shd w:val="clear" w:color="auto" w:fill="E7E6E6" w:themeFill="background2"/>
            <w:vAlign w:val="center"/>
          </w:tcPr>
          <w:p w14:paraId="5D9A2AFE"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305</w:t>
            </w:r>
          </w:p>
        </w:tc>
      </w:tr>
      <w:tr w:rsidR="008D3BF6" w:rsidRPr="007D3D4F" w14:paraId="4FA36BE8" w14:textId="77777777" w:rsidTr="00A558EE">
        <w:trPr>
          <w:jc w:val="center"/>
        </w:trPr>
        <w:tc>
          <w:tcPr>
            <w:tcW w:w="0" w:type="auto"/>
            <w:shd w:val="clear" w:color="auto" w:fill="E7E6E6" w:themeFill="background2"/>
            <w:vAlign w:val="center"/>
          </w:tcPr>
          <w:p w14:paraId="32478FF7"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7E6ABDFC"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Dealul Mândrești</w:t>
            </w:r>
          </w:p>
        </w:tc>
        <w:tc>
          <w:tcPr>
            <w:tcW w:w="0" w:type="auto"/>
            <w:shd w:val="clear" w:color="auto" w:fill="E7E6E6" w:themeFill="background2"/>
            <w:vAlign w:val="center"/>
          </w:tcPr>
          <w:p w14:paraId="600762C8"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RONPA0922</w:t>
            </w:r>
          </w:p>
        </w:tc>
        <w:tc>
          <w:tcPr>
            <w:tcW w:w="0" w:type="auto"/>
            <w:shd w:val="clear" w:color="auto" w:fill="E7E6E6" w:themeFill="background2"/>
            <w:vAlign w:val="center"/>
          </w:tcPr>
          <w:p w14:paraId="166584C6"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5</w:t>
            </w:r>
          </w:p>
        </w:tc>
      </w:tr>
      <w:tr w:rsidR="008D3BF6" w:rsidRPr="007D3D4F" w14:paraId="1C2002B2" w14:textId="77777777" w:rsidTr="00A558EE">
        <w:trPr>
          <w:jc w:val="center"/>
        </w:trPr>
        <w:tc>
          <w:tcPr>
            <w:tcW w:w="0" w:type="auto"/>
            <w:shd w:val="clear" w:color="auto" w:fill="E7E6E6" w:themeFill="background2"/>
            <w:vAlign w:val="center"/>
          </w:tcPr>
          <w:p w14:paraId="4B6F842A" w14:textId="77777777" w:rsidR="008D3BF6" w:rsidRPr="007D3D4F" w:rsidRDefault="008D3BF6" w:rsidP="00D81598">
            <w:pPr>
              <w:pStyle w:val="Listparagraf"/>
              <w:numPr>
                <w:ilvl w:val="0"/>
                <w:numId w:val="23"/>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102E13C8"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Mânăstirea Cocoș</w:t>
            </w:r>
          </w:p>
        </w:tc>
        <w:tc>
          <w:tcPr>
            <w:tcW w:w="0" w:type="auto"/>
            <w:shd w:val="clear" w:color="auto" w:fill="E7E6E6" w:themeFill="background2"/>
            <w:vAlign w:val="center"/>
          </w:tcPr>
          <w:p w14:paraId="52B98EEF"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RONPA0923</w:t>
            </w:r>
          </w:p>
        </w:tc>
        <w:tc>
          <w:tcPr>
            <w:tcW w:w="0" w:type="auto"/>
            <w:shd w:val="clear" w:color="auto" w:fill="E7E6E6" w:themeFill="background2"/>
            <w:vAlign w:val="center"/>
          </w:tcPr>
          <w:p w14:paraId="33AD5844"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4,6</w:t>
            </w:r>
          </w:p>
        </w:tc>
      </w:tr>
      <w:tr w:rsidR="008D3BF6" w:rsidRPr="007D3D4F" w14:paraId="07F380B9" w14:textId="77777777" w:rsidTr="00A558EE">
        <w:trPr>
          <w:jc w:val="center"/>
        </w:trPr>
        <w:tc>
          <w:tcPr>
            <w:tcW w:w="0" w:type="auto"/>
            <w:gridSpan w:val="3"/>
            <w:shd w:val="clear" w:color="auto" w:fill="C00000"/>
            <w:vAlign w:val="center"/>
          </w:tcPr>
          <w:p w14:paraId="13141FEA"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Total suprafață ocupată de arii naturale protejate de interes național</w:t>
            </w:r>
          </w:p>
        </w:tc>
        <w:tc>
          <w:tcPr>
            <w:tcW w:w="0" w:type="auto"/>
            <w:shd w:val="clear" w:color="auto" w:fill="C00000"/>
            <w:vAlign w:val="center"/>
          </w:tcPr>
          <w:p w14:paraId="0618FECC"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20.825,25</w:t>
            </w:r>
          </w:p>
        </w:tc>
      </w:tr>
    </w:tbl>
    <w:p w14:paraId="239DFDEB" w14:textId="77777777" w:rsidR="008D3BF6" w:rsidRPr="007D3D4F" w:rsidRDefault="008D3BF6" w:rsidP="004C072F">
      <w:pPr>
        <w:pStyle w:val="Smn"/>
        <w:contextualSpacing/>
        <w:jc w:val="center"/>
        <w:rPr>
          <w:rFonts w:ascii="Times New Roman" w:hAnsi="Times New Roman" w:cs="Times New Roman"/>
          <w:sz w:val="22"/>
          <w:szCs w:val="22"/>
        </w:rPr>
      </w:pPr>
      <w:r w:rsidRPr="007D3D4F">
        <w:rPr>
          <w:rFonts w:ascii="Times New Roman" w:hAnsi="Times New Roman" w:cs="Times New Roman"/>
          <w:b/>
          <w:bCs/>
          <w:sz w:val="22"/>
          <w:szCs w:val="22"/>
        </w:rPr>
        <w:t>Sursa:</w:t>
      </w:r>
      <w:r w:rsidRPr="007D3D4F">
        <w:rPr>
          <w:rFonts w:ascii="Times New Roman" w:hAnsi="Times New Roman" w:cs="Times New Roman"/>
          <w:sz w:val="22"/>
          <w:szCs w:val="22"/>
        </w:rPr>
        <w:t xml:space="preserve"> ANMAP, Raport anual privind starea factorilor de mediu în judeţul Tulcea, anul 2023</w:t>
      </w:r>
    </w:p>
    <w:p w14:paraId="6533ECA1" w14:textId="77777777" w:rsidR="008D3BF6" w:rsidRPr="007D3D4F" w:rsidRDefault="008D3BF6" w:rsidP="004C072F">
      <w:pPr>
        <w:pStyle w:val="Smn"/>
        <w:contextualSpacing/>
        <w:jc w:val="center"/>
        <w:rPr>
          <w:rFonts w:ascii="Times New Roman" w:hAnsi="Times New Roman" w:cs="Times New Roman"/>
          <w:sz w:val="22"/>
          <w:szCs w:val="22"/>
        </w:rPr>
      </w:pPr>
    </w:p>
    <w:p w14:paraId="7F22E97F" w14:textId="77777777" w:rsidR="008D3BF6" w:rsidRPr="007D3D4F" w:rsidRDefault="008D3BF6" w:rsidP="004C072F">
      <w:pPr>
        <w:pStyle w:val="Smn"/>
        <w:contextualSpacing/>
        <w:rPr>
          <w:rFonts w:ascii="Times New Roman" w:hAnsi="Times New Roman" w:cs="Times New Roman"/>
          <w:b/>
          <w:bCs/>
          <w:sz w:val="22"/>
          <w:szCs w:val="22"/>
        </w:rPr>
      </w:pPr>
      <w:r w:rsidRPr="007D3D4F">
        <w:rPr>
          <w:rFonts w:ascii="Times New Roman" w:hAnsi="Times New Roman" w:cs="Times New Roman"/>
          <w:b/>
          <w:bCs/>
          <w:sz w:val="22"/>
          <w:szCs w:val="22"/>
        </w:rPr>
        <w:t>2. Arii naturale protejate de interes internațional</w:t>
      </w:r>
    </w:p>
    <w:p w14:paraId="7964B820" w14:textId="7F45E58A" w:rsidR="008D3BF6" w:rsidRPr="007D3D4F" w:rsidRDefault="008D3BF6"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2</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w:t>
      </w:r>
      <w:r w:rsidRPr="007D3D4F">
        <w:rPr>
          <w:rFonts w:ascii="Times New Roman" w:hAnsi="Times New Roman" w:cs="Times New Roman"/>
          <w:sz w:val="22"/>
          <w:szCs w:val="22"/>
        </w:rPr>
        <w:t xml:space="preserve"> </w:t>
      </w:r>
      <w:r w:rsidRPr="007D3D4F">
        <w:rPr>
          <w:rFonts w:ascii="Times New Roman" w:hAnsi="Times New Roman" w:cs="Times New Roman"/>
          <w:b/>
          <w:bCs/>
          <w:i w:val="0"/>
          <w:iCs w:val="0"/>
          <w:color w:val="auto"/>
          <w:sz w:val="22"/>
          <w:szCs w:val="22"/>
        </w:rPr>
        <w:t>Ariile protejate de interes internațional de pe teritoriul județului Tulcea</w:t>
      </w: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7E6E6" w:themeFill="background2"/>
        <w:tblLook w:val="04A0" w:firstRow="1" w:lastRow="0" w:firstColumn="1" w:lastColumn="0" w:noHBand="0" w:noVBand="1"/>
      </w:tblPr>
      <w:tblGrid>
        <w:gridCol w:w="700"/>
        <w:gridCol w:w="2388"/>
        <w:gridCol w:w="4884"/>
        <w:gridCol w:w="1342"/>
      </w:tblGrid>
      <w:tr w:rsidR="008D3BF6" w:rsidRPr="007D3D4F" w14:paraId="5A711CA5" w14:textId="77777777" w:rsidTr="00A558EE">
        <w:trPr>
          <w:tblHeader/>
          <w:jc w:val="center"/>
        </w:trPr>
        <w:tc>
          <w:tcPr>
            <w:tcW w:w="0" w:type="auto"/>
            <w:shd w:val="clear" w:color="auto" w:fill="3B3838" w:themeFill="background2" w:themeFillShade="40"/>
            <w:vAlign w:val="center"/>
          </w:tcPr>
          <w:p w14:paraId="27F8A1BB"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Nr. crt</w:t>
            </w:r>
          </w:p>
        </w:tc>
        <w:tc>
          <w:tcPr>
            <w:tcW w:w="0" w:type="auto"/>
            <w:shd w:val="clear" w:color="auto" w:fill="3B3838" w:themeFill="background2" w:themeFillShade="40"/>
            <w:vAlign w:val="center"/>
          </w:tcPr>
          <w:p w14:paraId="08615163"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Denumire</w:t>
            </w:r>
          </w:p>
        </w:tc>
        <w:tc>
          <w:tcPr>
            <w:tcW w:w="0" w:type="auto"/>
            <w:shd w:val="clear" w:color="auto" w:fill="3B3838" w:themeFill="background2" w:themeFillShade="40"/>
            <w:vAlign w:val="center"/>
          </w:tcPr>
          <w:p w14:paraId="187BFD43"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Categoria ariei protejate</w:t>
            </w:r>
          </w:p>
        </w:tc>
        <w:tc>
          <w:tcPr>
            <w:tcW w:w="0" w:type="auto"/>
            <w:shd w:val="clear" w:color="auto" w:fill="3B3838" w:themeFill="background2" w:themeFillShade="40"/>
            <w:vAlign w:val="center"/>
          </w:tcPr>
          <w:p w14:paraId="67AFB2F4"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Suprafață (ha)</w:t>
            </w:r>
          </w:p>
        </w:tc>
      </w:tr>
      <w:tr w:rsidR="008D3BF6" w:rsidRPr="007D3D4F" w14:paraId="1D3D9BA0" w14:textId="77777777" w:rsidTr="00A558EE">
        <w:trPr>
          <w:jc w:val="center"/>
        </w:trPr>
        <w:tc>
          <w:tcPr>
            <w:tcW w:w="0" w:type="auto"/>
            <w:shd w:val="clear" w:color="auto" w:fill="E7E6E6" w:themeFill="background2"/>
            <w:vAlign w:val="center"/>
          </w:tcPr>
          <w:p w14:paraId="4064D642" w14:textId="77777777" w:rsidR="008D3BF6" w:rsidRPr="007D3D4F" w:rsidRDefault="008D3BF6" w:rsidP="00D81598">
            <w:pPr>
              <w:pStyle w:val="Listparagraf"/>
              <w:numPr>
                <w:ilvl w:val="0"/>
                <w:numId w:val="24"/>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777C8687"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Rezervaţia Biosferei Delta Dunării</w:t>
            </w:r>
          </w:p>
        </w:tc>
        <w:tc>
          <w:tcPr>
            <w:tcW w:w="0" w:type="auto"/>
            <w:shd w:val="clear" w:color="auto" w:fill="E7E6E6" w:themeFill="background2"/>
            <w:vAlign w:val="center"/>
          </w:tcPr>
          <w:p w14:paraId="7F41E01A"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Rezervaţie a biosferei Zonă umedă de importanță internațională- sit RAMSAR</w:t>
            </w:r>
          </w:p>
        </w:tc>
        <w:tc>
          <w:tcPr>
            <w:tcW w:w="0" w:type="auto"/>
            <w:shd w:val="clear" w:color="auto" w:fill="E7E6E6" w:themeFill="background2"/>
            <w:vAlign w:val="center"/>
          </w:tcPr>
          <w:p w14:paraId="1D3F376A"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580.000</w:t>
            </w:r>
          </w:p>
        </w:tc>
      </w:tr>
      <w:tr w:rsidR="008D3BF6" w:rsidRPr="007D3D4F" w14:paraId="55D57205" w14:textId="77777777" w:rsidTr="00A558EE">
        <w:trPr>
          <w:jc w:val="center"/>
        </w:trPr>
        <w:tc>
          <w:tcPr>
            <w:tcW w:w="0" w:type="auto"/>
            <w:shd w:val="clear" w:color="auto" w:fill="E7E6E6" w:themeFill="background2"/>
            <w:vAlign w:val="center"/>
          </w:tcPr>
          <w:p w14:paraId="5F8812DA" w14:textId="77777777" w:rsidR="008D3BF6" w:rsidRPr="007D3D4F" w:rsidRDefault="008D3BF6" w:rsidP="00D81598">
            <w:pPr>
              <w:pStyle w:val="Listparagraf"/>
              <w:numPr>
                <w:ilvl w:val="0"/>
                <w:numId w:val="24"/>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02482B36"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Dunărea Veche-Brațul Măcin</w:t>
            </w:r>
          </w:p>
        </w:tc>
        <w:tc>
          <w:tcPr>
            <w:tcW w:w="0" w:type="auto"/>
            <w:shd w:val="clear" w:color="auto" w:fill="E7E6E6" w:themeFill="background2"/>
            <w:vAlign w:val="center"/>
          </w:tcPr>
          <w:p w14:paraId="25AE6D51"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Zonă umedă de importanță internațională – sit RAMSAR</w:t>
            </w:r>
          </w:p>
        </w:tc>
        <w:tc>
          <w:tcPr>
            <w:tcW w:w="0" w:type="auto"/>
            <w:shd w:val="clear" w:color="auto" w:fill="E7E6E6" w:themeFill="background2"/>
            <w:vAlign w:val="center"/>
          </w:tcPr>
          <w:p w14:paraId="2FA486D5"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26.792</w:t>
            </w:r>
          </w:p>
        </w:tc>
      </w:tr>
      <w:tr w:rsidR="008D3BF6" w:rsidRPr="007D3D4F" w14:paraId="27BF3887" w14:textId="77777777" w:rsidTr="00A558EE">
        <w:trPr>
          <w:jc w:val="center"/>
        </w:trPr>
        <w:tc>
          <w:tcPr>
            <w:tcW w:w="0" w:type="auto"/>
            <w:gridSpan w:val="3"/>
            <w:shd w:val="clear" w:color="auto" w:fill="C00000"/>
            <w:vAlign w:val="center"/>
          </w:tcPr>
          <w:p w14:paraId="7883FF15"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Total suprafață ocupată de arii protejate de interes internațional</w:t>
            </w:r>
          </w:p>
        </w:tc>
        <w:tc>
          <w:tcPr>
            <w:tcW w:w="0" w:type="auto"/>
            <w:shd w:val="clear" w:color="auto" w:fill="C00000"/>
            <w:vAlign w:val="center"/>
          </w:tcPr>
          <w:p w14:paraId="7ADDBD97"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606.792</w:t>
            </w:r>
          </w:p>
        </w:tc>
      </w:tr>
    </w:tbl>
    <w:p w14:paraId="6DE85175" w14:textId="77777777" w:rsidR="008D3BF6" w:rsidRPr="007D3D4F" w:rsidRDefault="008D3BF6" w:rsidP="004C072F">
      <w:pPr>
        <w:pStyle w:val="Smn"/>
        <w:contextualSpacing/>
        <w:jc w:val="center"/>
        <w:rPr>
          <w:rFonts w:ascii="Times New Roman" w:hAnsi="Times New Roman" w:cs="Times New Roman"/>
          <w:sz w:val="22"/>
          <w:szCs w:val="22"/>
        </w:rPr>
      </w:pPr>
      <w:r w:rsidRPr="007D3D4F">
        <w:rPr>
          <w:rFonts w:ascii="Times New Roman" w:hAnsi="Times New Roman" w:cs="Times New Roman"/>
          <w:b/>
          <w:bCs/>
          <w:sz w:val="22"/>
          <w:szCs w:val="22"/>
        </w:rPr>
        <w:t>Sursa:</w:t>
      </w:r>
      <w:r w:rsidRPr="007D3D4F">
        <w:rPr>
          <w:rFonts w:ascii="Times New Roman" w:hAnsi="Times New Roman" w:cs="Times New Roman"/>
          <w:sz w:val="22"/>
          <w:szCs w:val="22"/>
        </w:rPr>
        <w:t xml:space="preserve"> ANMAP, Raport anual privind starea factorilor de mediu în judeţul Tulcea, anul 2023</w:t>
      </w:r>
    </w:p>
    <w:p w14:paraId="54C11962" w14:textId="77777777" w:rsidR="008D3BF6" w:rsidRPr="007D3D4F" w:rsidRDefault="008D3BF6" w:rsidP="004C072F">
      <w:pPr>
        <w:pStyle w:val="Smn"/>
        <w:contextualSpacing/>
        <w:jc w:val="center"/>
        <w:rPr>
          <w:rFonts w:ascii="Times New Roman" w:hAnsi="Times New Roman" w:cs="Times New Roman"/>
          <w:sz w:val="22"/>
          <w:szCs w:val="22"/>
        </w:rPr>
      </w:pPr>
    </w:p>
    <w:p w14:paraId="0489DB1C" w14:textId="77777777" w:rsidR="008D3BF6" w:rsidRPr="007D3D4F" w:rsidRDefault="008D3BF6" w:rsidP="004C072F">
      <w:pPr>
        <w:pStyle w:val="Smn"/>
        <w:contextualSpacing/>
        <w:rPr>
          <w:rFonts w:ascii="Times New Roman" w:hAnsi="Times New Roman" w:cs="Times New Roman"/>
          <w:b/>
          <w:bCs/>
          <w:sz w:val="22"/>
          <w:szCs w:val="22"/>
        </w:rPr>
      </w:pPr>
      <w:r w:rsidRPr="007D3D4F">
        <w:rPr>
          <w:rFonts w:ascii="Times New Roman" w:hAnsi="Times New Roman" w:cs="Times New Roman"/>
          <w:b/>
          <w:bCs/>
          <w:sz w:val="22"/>
          <w:szCs w:val="22"/>
        </w:rPr>
        <w:t>3. Situri de importanță comunitară</w:t>
      </w:r>
    </w:p>
    <w:p w14:paraId="37A78056" w14:textId="00AB9655" w:rsidR="008D3BF6" w:rsidRPr="007D3D4F" w:rsidRDefault="008D3BF6"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3</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w:t>
      </w:r>
      <w:r w:rsidRPr="007D3D4F">
        <w:rPr>
          <w:rFonts w:ascii="Times New Roman" w:hAnsi="Times New Roman" w:cs="Times New Roman"/>
          <w:sz w:val="22"/>
          <w:szCs w:val="22"/>
        </w:rPr>
        <w:t xml:space="preserve"> </w:t>
      </w:r>
      <w:r w:rsidRPr="007D3D4F">
        <w:rPr>
          <w:rFonts w:ascii="Times New Roman" w:hAnsi="Times New Roman" w:cs="Times New Roman"/>
          <w:b/>
          <w:bCs/>
          <w:i w:val="0"/>
          <w:iCs w:val="0"/>
          <w:color w:val="auto"/>
          <w:sz w:val="22"/>
          <w:szCs w:val="22"/>
        </w:rPr>
        <w:t>Situri de importanță comunitară de pe teritoriul județului Tulcea</w:t>
      </w: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7E6E6" w:themeFill="background2"/>
        <w:tblLook w:val="04A0" w:firstRow="1" w:lastRow="0" w:firstColumn="1" w:lastColumn="0" w:noHBand="0" w:noVBand="1"/>
      </w:tblPr>
      <w:tblGrid>
        <w:gridCol w:w="803"/>
        <w:gridCol w:w="1339"/>
        <w:gridCol w:w="2523"/>
        <w:gridCol w:w="1484"/>
        <w:gridCol w:w="3165"/>
      </w:tblGrid>
      <w:tr w:rsidR="008D3BF6" w:rsidRPr="007D3D4F" w14:paraId="0CD764B5" w14:textId="77777777" w:rsidTr="00A558EE">
        <w:trPr>
          <w:tblHeader/>
          <w:jc w:val="center"/>
        </w:trPr>
        <w:tc>
          <w:tcPr>
            <w:tcW w:w="0" w:type="auto"/>
            <w:shd w:val="clear" w:color="auto" w:fill="3B3838" w:themeFill="background2" w:themeFillShade="40"/>
            <w:vAlign w:val="center"/>
          </w:tcPr>
          <w:p w14:paraId="2FF341CE"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Nr. crt</w:t>
            </w:r>
          </w:p>
        </w:tc>
        <w:tc>
          <w:tcPr>
            <w:tcW w:w="0" w:type="auto"/>
            <w:shd w:val="clear" w:color="auto" w:fill="3B3838" w:themeFill="background2" w:themeFillShade="40"/>
            <w:vAlign w:val="center"/>
          </w:tcPr>
          <w:p w14:paraId="22303828"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Codul sitului</w:t>
            </w:r>
          </w:p>
        </w:tc>
        <w:tc>
          <w:tcPr>
            <w:tcW w:w="0" w:type="auto"/>
            <w:shd w:val="clear" w:color="auto" w:fill="3B3838" w:themeFill="background2" w:themeFillShade="40"/>
            <w:vAlign w:val="center"/>
          </w:tcPr>
          <w:p w14:paraId="2EE7127A"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Numele sitului</w:t>
            </w:r>
          </w:p>
        </w:tc>
        <w:tc>
          <w:tcPr>
            <w:tcW w:w="0" w:type="auto"/>
            <w:shd w:val="clear" w:color="auto" w:fill="3B3838" w:themeFill="background2" w:themeFillShade="40"/>
            <w:vAlign w:val="center"/>
          </w:tcPr>
          <w:p w14:paraId="71BC91C8"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Suprafață (ha)</w:t>
            </w:r>
          </w:p>
        </w:tc>
        <w:tc>
          <w:tcPr>
            <w:tcW w:w="0" w:type="auto"/>
            <w:shd w:val="clear" w:color="auto" w:fill="3B3838" w:themeFill="background2" w:themeFillShade="40"/>
            <w:vAlign w:val="center"/>
          </w:tcPr>
          <w:p w14:paraId="6A31A016"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Suprafață la nivelul județului (ha)</w:t>
            </w:r>
          </w:p>
        </w:tc>
      </w:tr>
      <w:tr w:rsidR="008D3BF6" w:rsidRPr="007D3D4F" w14:paraId="6EA429AE" w14:textId="77777777" w:rsidTr="00A558EE">
        <w:trPr>
          <w:jc w:val="center"/>
        </w:trPr>
        <w:tc>
          <w:tcPr>
            <w:tcW w:w="0" w:type="auto"/>
            <w:shd w:val="clear" w:color="auto" w:fill="E7E6E6" w:themeFill="background2"/>
            <w:vAlign w:val="center"/>
          </w:tcPr>
          <w:p w14:paraId="3E3F18C5" w14:textId="77777777" w:rsidR="008D3BF6" w:rsidRPr="007D3D4F" w:rsidRDefault="008D3BF6" w:rsidP="00D81598">
            <w:pPr>
              <w:pStyle w:val="Listparagraf"/>
              <w:numPr>
                <w:ilvl w:val="0"/>
                <w:numId w:val="25"/>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15A60D11"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ROSCI0012</w:t>
            </w:r>
          </w:p>
        </w:tc>
        <w:tc>
          <w:tcPr>
            <w:tcW w:w="0" w:type="auto"/>
            <w:shd w:val="clear" w:color="auto" w:fill="E7E6E6" w:themeFill="background2"/>
            <w:vAlign w:val="center"/>
          </w:tcPr>
          <w:p w14:paraId="1E50144D"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Brațul Măcin</w:t>
            </w:r>
          </w:p>
        </w:tc>
        <w:tc>
          <w:tcPr>
            <w:tcW w:w="0" w:type="auto"/>
            <w:shd w:val="clear" w:color="auto" w:fill="E7E6E6" w:themeFill="background2"/>
            <w:vAlign w:val="center"/>
          </w:tcPr>
          <w:p w14:paraId="0127A09F"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10.235</w:t>
            </w:r>
          </w:p>
        </w:tc>
        <w:tc>
          <w:tcPr>
            <w:tcW w:w="0" w:type="auto"/>
            <w:shd w:val="clear" w:color="auto" w:fill="E7E6E6" w:themeFill="background2"/>
            <w:vAlign w:val="center"/>
          </w:tcPr>
          <w:p w14:paraId="6849B4A6"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4.503</w:t>
            </w:r>
          </w:p>
        </w:tc>
      </w:tr>
      <w:tr w:rsidR="008D3BF6" w:rsidRPr="007D3D4F" w14:paraId="4DCB75B3" w14:textId="77777777" w:rsidTr="00A558EE">
        <w:trPr>
          <w:jc w:val="center"/>
        </w:trPr>
        <w:tc>
          <w:tcPr>
            <w:tcW w:w="0" w:type="auto"/>
            <w:shd w:val="clear" w:color="auto" w:fill="E7E6E6" w:themeFill="background2"/>
            <w:vAlign w:val="center"/>
          </w:tcPr>
          <w:p w14:paraId="2ADFFAAA" w14:textId="77777777" w:rsidR="008D3BF6" w:rsidRPr="007D3D4F" w:rsidRDefault="008D3BF6" w:rsidP="00D81598">
            <w:pPr>
              <w:pStyle w:val="Listparagraf"/>
              <w:numPr>
                <w:ilvl w:val="0"/>
                <w:numId w:val="25"/>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6DA0085F"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ROSAC0060</w:t>
            </w:r>
          </w:p>
        </w:tc>
        <w:tc>
          <w:tcPr>
            <w:tcW w:w="0" w:type="auto"/>
            <w:shd w:val="clear" w:color="auto" w:fill="E7E6E6" w:themeFill="background2"/>
            <w:vAlign w:val="center"/>
          </w:tcPr>
          <w:p w14:paraId="2F6E22B1"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Dealurile Agighiolului</w:t>
            </w:r>
          </w:p>
        </w:tc>
        <w:tc>
          <w:tcPr>
            <w:tcW w:w="0" w:type="auto"/>
            <w:shd w:val="clear" w:color="auto" w:fill="E7E6E6" w:themeFill="background2"/>
            <w:vAlign w:val="center"/>
          </w:tcPr>
          <w:p w14:paraId="2F35B5A5"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1.433</w:t>
            </w:r>
          </w:p>
        </w:tc>
        <w:tc>
          <w:tcPr>
            <w:tcW w:w="0" w:type="auto"/>
            <w:shd w:val="clear" w:color="auto" w:fill="E7E6E6" w:themeFill="background2"/>
            <w:vAlign w:val="center"/>
          </w:tcPr>
          <w:p w14:paraId="3A86508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1.433</w:t>
            </w:r>
          </w:p>
        </w:tc>
      </w:tr>
      <w:tr w:rsidR="008D3BF6" w:rsidRPr="007D3D4F" w14:paraId="2D2E2D21" w14:textId="77777777" w:rsidTr="00A558EE">
        <w:trPr>
          <w:jc w:val="center"/>
        </w:trPr>
        <w:tc>
          <w:tcPr>
            <w:tcW w:w="0" w:type="auto"/>
            <w:shd w:val="clear" w:color="auto" w:fill="E7E6E6" w:themeFill="background2"/>
            <w:vAlign w:val="center"/>
          </w:tcPr>
          <w:p w14:paraId="116F3224" w14:textId="77777777" w:rsidR="008D3BF6" w:rsidRPr="007D3D4F" w:rsidRDefault="008D3BF6" w:rsidP="00D81598">
            <w:pPr>
              <w:pStyle w:val="Listparagraf"/>
              <w:numPr>
                <w:ilvl w:val="0"/>
                <w:numId w:val="25"/>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71E347F2"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ROSCI0065</w:t>
            </w:r>
          </w:p>
        </w:tc>
        <w:tc>
          <w:tcPr>
            <w:tcW w:w="0" w:type="auto"/>
            <w:shd w:val="clear" w:color="auto" w:fill="E7E6E6" w:themeFill="background2"/>
            <w:vAlign w:val="center"/>
          </w:tcPr>
          <w:p w14:paraId="374C09F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Delta Dunării</w:t>
            </w:r>
          </w:p>
        </w:tc>
        <w:tc>
          <w:tcPr>
            <w:tcW w:w="0" w:type="auto"/>
            <w:shd w:val="clear" w:color="auto" w:fill="E7E6E6" w:themeFill="background2"/>
            <w:vAlign w:val="center"/>
          </w:tcPr>
          <w:p w14:paraId="7B266CA4"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454.037</w:t>
            </w:r>
          </w:p>
        </w:tc>
        <w:tc>
          <w:tcPr>
            <w:tcW w:w="0" w:type="auto"/>
            <w:shd w:val="clear" w:color="auto" w:fill="E7E6E6" w:themeFill="background2"/>
            <w:vAlign w:val="center"/>
          </w:tcPr>
          <w:p w14:paraId="0C22C6B8"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422.254</w:t>
            </w:r>
          </w:p>
        </w:tc>
      </w:tr>
      <w:tr w:rsidR="008D3BF6" w:rsidRPr="007D3D4F" w14:paraId="7EAAB56C" w14:textId="77777777" w:rsidTr="00A558EE">
        <w:trPr>
          <w:jc w:val="center"/>
        </w:trPr>
        <w:tc>
          <w:tcPr>
            <w:tcW w:w="0" w:type="auto"/>
            <w:shd w:val="clear" w:color="auto" w:fill="E7E6E6" w:themeFill="background2"/>
            <w:vAlign w:val="center"/>
          </w:tcPr>
          <w:p w14:paraId="5F860BE0" w14:textId="77777777" w:rsidR="008D3BF6" w:rsidRPr="007D3D4F" w:rsidRDefault="008D3BF6" w:rsidP="00D81598">
            <w:pPr>
              <w:pStyle w:val="Listparagraf"/>
              <w:numPr>
                <w:ilvl w:val="0"/>
                <w:numId w:val="25"/>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348275C1"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ROSCI0066</w:t>
            </w:r>
          </w:p>
        </w:tc>
        <w:tc>
          <w:tcPr>
            <w:tcW w:w="0" w:type="auto"/>
            <w:shd w:val="clear" w:color="auto" w:fill="E7E6E6" w:themeFill="background2"/>
            <w:vAlign w:val="center"/>
          </w:tcPr>
          <w:p w14:paraId="0BEC3DBD"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Delta Dunării – zona marină</w:t>
            </w:r>
          </w:p>
        </w:tc>
        <w:tc>
          <w:tcPr>
            <w:tcW w:w="0" w:type="auto"/>
            <w:shd w:val="clear" w:color="auto" w:fill="E7E6E6" w:themeFill="background2"/>
            <w:vAlign w:val="center"/>
          </w:tcPr>
          <w:p w14:paraId="01094039"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123.374</w:t>
            </w:r>
          </w:p>
        </w:tc>
        <w:tc>
          <w:tcPr>
            <w:tcW w:w="0" w:type="auto"/>
            <w:shd w:val="clear" w:color="auto" w:fill="E7E6E6" w:themeFill="background2"/>
            <w:vAlign w:val="center"/>
          </w:tcPr>
          <w:p w14:paraId="5AF185E6"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2.468</w:t>
            </w:r>
          </w:p>
        </w:tc>
      </w:tr>
      <w:tr w:rsidR="008D3BF6" w:rsidRPr="007D3D4F" w14:paraId="7689BF98" w14:textId="77777777" w:rsidTr="00A558EE">
        <w:trPr>
          <w:jc w:val="center"/>
        </w:trPr>
        <w:tc>
          <w:tcPr>
            <w:tcW w:w="0" w:type="auto"/>
            <w:shd w:val="clear" w:color="auto" w:fill="E7E6E6" w:themeFill="background2"/>
            <w:vAlign w:val="center"/>
          </w:tcPr>
          <w:p w14:paraId="75FEF8FA" w14:textId="77777777" w:rsidR="008D3BF6" w:rsidRPr="007D3D4F" w:rsidRDefault="008D3BF6" w:rsidP="00D81598">
            <w:pPr>
              <w:pStyle w:val="Listparagraf"/>
              <w:numPr>
                <w:ilvl w:val="0"/>
                <w:numId w:val="25"/>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51A27BB1"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ROSAC0067</w:t>
            </w:r>
          </w:p>
        </w:tc>
        <w:tc>
          <w:tcPr>
            <w:tcW w:w="0" w:type="auto"/>
            <w:shd w:val="clear" w:color="auto" w:fill="E7E6E6" w:themeFill="background2"/>
            <w:vAlign w:val="center"/>
          </w:tcPr>
          <w:p w14:paraId="61700C4A"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DENIZ TEPE</w:t>
            </w:r>
          </w:p>
        </w:tc>
        <w:tc>
          <w:tcPr>
            <w:tcW w:w="0" w:type="auto"/>
            <w:shd w:val="clear" w:color="auto" w:fill="E7E6E6" w:themeFill="background2"/>
            <w:vAlign w:val="center"/>
          </w:tcPr>
          <w:p w14:paraId="22946EAB"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414</w:t>
            </w:r>
          </w:p>
        </w:tc>
        <w:tc>
          <w:tcPr>
            <w:tcW w:w="0" w:type="auto"/>
            <w:shd w:val="clear" w:color="auto" w:fill="E7E6E6" w:themeFill="background2"/>
            <w:vAlign w:val="center"/>
          </w:tcPr>
          <w:p w14:paraId="33664C4C"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414</w:t>
            </w:r>
          </w:p>
        </w:tc>
      </w:tr>
      <w:tr w:rsidR="008D3BF6" w:rsidRPr="007D3D4F" w14:paraId="045F9690" w14:textId="77777777" w:rsidTr="00A558EE">
        <w:trPr>
          <w:jc w:val="center"/>
        </w:trPr>
        <w:tc>
          <w:tcPr>
            <w:tcW w:w="0" w:type="auto"/>
            <w:shd w:val="clear" w:color="auto" w:fill="E7E6E6" w:themeFill="background2"/>
            <w:vAlign w:val="center"/>
          </w:tcPr>
          <w:p w14:paraId="1D882F12" w14:textId="77777777" w:rsidR="008D3BF6" w:rsidRPr="007D3D4F" w:rsidRDefault="008D3BF6" w:rsidP="00D81598">
            <w:pPr>
              <w:pStyle w:val="Listparagraf"/>
              <w:numPr>
                <w:ilvl w:val="0"/>
                <w:numId w:val="25"/>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0C827AF7"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ROSCI0123</w:t>
            </w:r>
          </w:p>
        </w:tc>
        <w:tc>
          <w:tcPr>
            <w:tcW w:w="0" w:type="auto"/>
            <w:shd w:val="clear" w:color="auto" w:fill="E7E6E6" w:themeFill="background2"/>
            <w:vAlign w:val="center"/>
          </w:tcPr>
          <w:p w14:paraId="04B41CC4"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Munții Măcinului</w:t>
            </w:r>
          </w:p>
        </w:tc>
        <w:tc>
          <w:tcPr>
            <w:tcW w:w="0" w:type="auto"/>
            <w:shd w:val="clear" w:color="auto" w:fill="E7E6E6" w:themeFill="background2"/>
            <w:vAlign w:val="center"/>
          </w:tcPr>
          <w:p w14:paraId="0CC0462D"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16.894</w:t>
            </w:r>
          </w:p>
        </w:tc>
        <w:tc>
          <w:tcPr>
            <w:tcW w:w="0" w:type="auto"/>
            <w:shd w:val="clear" w:color="auto" w:fill="E7E6E6" w:themeFill="background2"/>
            <w:vAlign w:val="center"/>
          </w:tcPr>
          <w:p w14:paraId="4750DDF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16.894</w:t>
            </w:r>
          </w:p>
        </w:tc>
      </w:tr>
      <w:tr w:rsidR="008D3BF6" w:rsidRPr="007D3D4F" w14:paraId="6529976B" w14:textId="77777777" w:rsidTr="00A558EE">
        <w:trPr>
          <w:jc w:val="center"/>
        </w:trPr>
        <w:tc>
          <w:tcPr>
            <w:tcW w:w="0" w:type="auto"/>
            <w:shd w:val="clear" w:color="auto" w:fill="E7E6E6" w:themeFill="background2"/>
            <w:vAlign w:val="center"/>
          </w:tcPr>
          <w:p w14:paraId="621FB946" w14:textId="77777777" w:rsidR="008D3BF6" w:rsidRPr="007D3D4F" w:rsidRDefault="008D3BF6" w:rsidP="00D81598">
            <w:pPr>
              <w:pStyle w:val="Listparagraf"/>
              <w:numPr>
                <w:ilvl w:val="0"/>
                <w:numId w:val="25"/>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76139DA6"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ROSCI0201</w:t>
            </w:r>
          </w:p>
        </w:tc>
        <w:tc>
          <w:tcPr>
            <w:tcW w:w="0" w:type="auto"/>
            <w:shd w:val="clear" w:color="auto" w:fill="E7E6E6" w:themeFill="background2"/>
            <w:vAlign w:val="center"/>
          </w:tcPr>
          <w:p w14:paraId="6993E6BC"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Podișul Nord Dobrogean</w:t>
            </w:r>
          </w:p>
        </w:tc>
        <w:tc>
          <w:tcPr>
            <w:tcW w:w="0" w:type="auto"/>
            <w:shd w:val="clear" w:color="auto" w:fill="E7E6E6" w:themeFill="background2"/>
            <w:vAlign w:val="center"/>
          </w:tcPr>
          <w:p w14:paraId="6A0796D5"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84.812</w:t>
            </w:r>
          </w:p>
        </w:tc>
        <w:tc>
          <w:tcPr>
            <w:tcW w:w="0" w:type="auto"/>
            <w:shd w:val="clear" w:color="auto" w:fill="E7E6E6" w:themeFill="background2"/>
            <w:vAlign w:val="center"/>
          </w:tcPr>
          <w:p w14:paraId="40324FBB"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eastAsia="MS Mincho" w:hAnsi="Times New Roman" w:cs="Times New Roman"/>
                <w:kern w:val="0"/>
                <w:sz w:val="20"/>
                <w:szCs w:val="20"/>
                <w14:ligatures w14:val="none"/>
              </w:rPr>
              <w:t>84.812</w:t>
            </w:r>
          </w:p>
        </w:tc>
      </w:tr>
      <w:tr w:rsidR="008D3BF6" w:rsidRPr="007D3D4F" w14:paraId="5855360A" w14:textId="77777777" w:rsidTr="00A558EE">
        <w:trPr>
          <w:jc w:val="center"/>
        </w:trPr>
        <w:tc>
          <w:tcPr>
            <w:tcW w:w="0" w:type="auto"/>
            <w:gridSpan w:val="4"/>
            <w:shd w:val="clear" w:color="auto" w:fill="C00000"/>
            <w:vAlign w:val="center"/>
          </w:tcPr>
          <w:p w14:paraId="07A2BF96"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Total suprafață ocupată de situri de importanță comunitară</w:t>
            </w:r>
          </w:p>
        </w:tc>
        <w:tc>
          <w:tcPr>
            <w:tcW w:w="0" w:type="auto"/>
            <w:shd w:val="clear" w:color="auto" w:fill="C00000"/>
            <w:vAlign w:val="center"/>
          </w:tcPr>
          <w:p w14:paraId="099C9D8F"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532.778</w:t>
            </w:r>
          </w:p>
        </w:tc>
      </w:tr>
    </w:tbl>
    <w:p w14:paraId="5806F539" w14:textId="77777777" w:rsidR="008D3BF6" w:rsidRPr="007D3D4F" w:rsidRDefault="008D3BF6" w:rsidP="004C072F">
      <w:pPr>
        <w:pStyle w:val="Smn"/>
        <w:contextualSpacing/>
        <w:jc w:val="center"/>
        <w:rPr>
          <w:rFonts w:ascii="Times New Roman" w:hAnsi="Times New Roman" w:cs="Times New Roman"/>
          <w:sz w:val="22"/>
          <w:szCs w:val="22"/>
        </w:rPr>
      </w:pPr>
      <w:r w:rsidRPr="007D3D4F">
        <w:rPr>
          <w:rFonts w:ascii="Times New Roman" w:hAnsi="Times New Roman" w:cs="Times New Roman"/>
          <w:b/>
          <w:bCs/>
          <w:sz w:val="22"/>
          <w:szCs w:val="22"/>
        </w:rPr>
        <w:t>Sursa:</w:t>
      </w:r>
      <w:r w:rsidRPr="007D3D4F">
        <w:rPr>
          <w:rFonts w:ascii="Times New Roman" w:hAnsi="Times New Roman" w:cs="Times New Roman"/>
          <w:sz w:val="22"/>
          <w:szCs w:val="22"/>
        </w:rPr>
        <w:t xml:space="preserve"> ANMAP, Raport anual privind starea factorilor de mediu în judeţul Tulcea, anul 2023</w:t>
      </w:r>
    </w:p>
    <w:p w14:paraId="4E8E6F50" w14:textId="77777777" w:rsidR="008D3BF6" w:rsidRPr="007D3D4F" w:rsidRDefault="008D3BF6" w:rsidP="004C072F">
      <w:pPr>
        <w:pStyle w:val="Smn"/>
        <w:contextualSpacing/>
        <w:jc w:val="center"/>
        <w:rPr>
          <w:rFonts w:ascii="Times New Roman" w:hAnsi="Times New Roman" w:cs="Times New Roman"/>
          <w:sz w:val="22"/>
          <w:szCs w:val="22"/>
        </w:rPr>
      </w:pPr>
    </w:p>
    <w:p w14:paraId="1DFA7283" w14:textId="77777777" w:rsidR="008D3BF6" w:rsidRPr="007D3D4F" w:rsidRDefault="008D3BF6" w:rsidP="004C072F">
      <w:pPr>
        <w:pStyle w:val="Smn"/>
        <w:contextualSpacing/>
        <w:rPr>
          <w:rFonts w:ascii="Times New Roman" w:hAnsi="Times New Roman" w:cs="Times New Roman"/>
          <w:b/>
          <w:bCs/>
          <w:sz w:val="22"/>
          <w:szCs w:val="22"/>
        </w:rPr>
      </w:pPr>
      <w:r w:rsidRPr="007D3D4F">
        <w:rPr>
          <w:rFonts w:ascii="Times New Roman" w:hAnsi="Times New Roman" w:cs="Times New Roman"/>
          <w:b/>
          <w:bCs/>
          <w:sz w:val="22"/>
          <w:szCs w:val="22"/>
        </w:rPr>
        <w:t>4. Arii de protecție specială avifaunistică</w:t>
      </w:r>
    </w:p>
    <w:p w14:paraId="2C07C729" w14:textId="52A0A590" w:rsidR="008D3BF6" w:rsidRPr="007D3D4F" w:rsidRDefault="008D3BF6"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4</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w:t>
      </w:r>
      <w:r w:rsidRPr="007D3D4F">
        <w:rPr>
          <w:rFonts w:ascii="Times New Roman" w:hAnsi="Times New Roman" w:cs="Times New Roman"/>
          <w:sz w:val="22"/>
          <w:szCs w:val="22"/>
        </w:rPr>
        <w:t xml:space="preserve"> </w:t>
      </w:r>
      <w:r w:rsidRPr="007D3D4F">
        <w:rPr>
          <w:rFonts w:ascii="Times New Roman" w:hAnsi="Times New Roman" w:cs="Times New Roman"/>
          <w:b/>
          <w:bCs/>
          <w:i w:val="0"/>
          <w:iCs w:val="0"/>
          <w:color w:val="auto"/>
          <w:sz w:val="22"/>
          <w:szCs w:val="22"/>
        </w:rPr>
        <w:t>Arii de protecție specială avifaunistică de pe teritoriul județului Tulcea</w:t>
      </w: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7E6E6" w:themeFill="background2"/>
        <w:tblLook w:val="04A0" w:firstRow="1" w:lastRow="0" w:firstColumn="1" w:lastColumn="0" w:noHBand="0" w:noVBand="1"/>
      </w:tblPr>
      <w:tblGrid>
        <w:gridCol w:w="734"/>
        <w:gridCol w:w="1307"/>
        <w:gridCol w:w="3175"/>
        <w:gridCol w:w="1387"/>
        <w:gridCol w:w="2711"/>
      </w:tblGrid>
      <w:tr w:rsidR="008D3BF6" w:rsidRPr="007D3D4F" w14:paraId="006B7189" w14:textId="77777777" w:rsidTr="00A558EE">
        <w:trPr>
          <w:tblHeader/>
          <w:jc w:val="center"/>
        </w:trPr>
        <w:tc>
          <w:tcPr>
            <w:tcW w:w="0" w:type="auto"/>
            <w:shd w:val="clear" w:color="auto" w:fill="3B3838" w:themeFill="background2" w:themeFillShade="40"/>
            <w:vAlign w:val="center"/>
          </w:tcPr>
          <w:p w14:paraId="417032E1"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Nr. crt</w:t>
            </w:r>
          </w:p>
        </w:tc>
        <w:tc>
          <w:tcPr>
            <w:tcW w:w="0" w:type="auto"/>
            <w:shd w:val="clear" w:color="auto" w:fill="3B3838" w:themeFill="background2" w:themeFillShade="40"/>
            <w:vAlign w:val="center"/>
          </w:tcPr>
          <w:p w14:paraId="085CCA6B"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Codul sitului</w:t>
            </w:r>
          </w:p>
        </w:tc>
        <w:tc>
          <w:tcPr>
            <w:tcW w:w="0" w:type="auto"/>
            <w:shd w:val="clear" w:color="auto" w:fill="3B3838" w:themeFill="background2" w:themeFillShade="40"/>
            <w:vAlign w:val="center"/>
          </w:tcPr>
          <w:p w14:paraId="6ACE14D4"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Numele sitului</w:t>
            </w:r>
          </w:p>
        </w:tc>
        <w:tc>
          <w:tcPr>
            <w:tcW w:w="0" w:type="auto"/>
            <w:shd w:val="clear" w:color="auto" w:fill="3B3838" w:themeFill="background2" w:themeFillShade="40"/>
            <w:vAlign w:val="center"/>
          </w:tcPr>
          <w:p w14:paraId="7F01FE6D"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Suprafață (ha)</w:t>
            </w:r>
          </w:p>
        </w:tc>
        <w:tc>
          <w:tcPr>
            <w:tcW w:w="0" w:type="auto"/>
            <w:shd w:val="clear" w:color="auto" w:fill="3B3838" w:themeFill="background2" w:themeFillShade="40"/>
            <w:vAlign w:val="center"/>
          </w:tcPr>
          <w:p w14:paraId="0A8A8DB8"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Suprafață la nivelul județului (ha)</w:t>
            </w:r>
          </w:p>
        </w:tc>
      </w:tr>
      <w:tr w:rsidR="008D3BF6" w:rsidRPr="007D3D4F" w14:paraId="1793DD04" w14:textId="77777777" w:rsidTr="00A558EE">
        <w:trPr>
          <w:jc w:val="center"/>
        </w:trPr>
        <w:tc>
          <w:tcPr>
            <w:tcW w:w="0" w:type="auto"/>
            <w:shd w:val="clear" w:color="auto" w:fill="E7E6E6" w:themeFill="background2"/>
            <w:vAlign w:val="center"/>
          </w:tcPr>
          <w:p w14:paraId="34EF5642" w14:textId="77777777" w:rsidR="008D3BF6" w:rsidRPr="007D3D4F" w:rsidRDefault="008D3BF6" w:rsidP="00D81598">
            <w:pPr>
              <w:pStyle w:val="Listparagraf"/>
              <w:numPr>
                <w:ilvl w:val="0"/>
                <w:numId w:val="26"/>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5CCCF260"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ROSPA0009</w:t>
            </w:r>
          </w:p>
        </w:tc>
        <w:tc>
          <w:tcPr>
            <w:tcW w:w="0" w:type="auto"/>
            <w:shd w:val="clear" w:color="auto" w:fill="E7E6E6" w:themeFill="background2"/>
            <w:vAlign w:val="center"/>
          </w:tcPr>
          <w:p w14:paraId="3D7B2E65"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Beștepe - Mahmudia</w:t>
            </w:r>
          </w:p>
        </w:tc>
        <w:tc>
          <w:tcPr>
            <w:tcW w:w="0" w:type="auto"/>
            <w:shd w:val="clear" w:color="auto" w:fill="E7E6E6" w:themeFill="background2"/>
            <w:vAlign w:val="center"/>
          </w:tcPr>
          <w:p w14:paraId="39AFAEDC"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3.663</w:t>
            </w:r>
          </w:p>
        </w:tc>
        <w:tc>
          <w:tcPr>
            <w:tcW w:w="0" w:type="auto"/>
            <w:shd w:val="clear" w:color="auto" w:fill="E7E6E6" w:themeFill="background2"/>
            <w:vAlign w:val="center"/>
          </w:tcPr>
          <w:p w14:paraId="23D4036B"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3.663</w:t>
            </w:r>
          </w:p>
        </w:tc>
      </w:tr>
      <w:tr w:rsidR="008D3BF6" w:rsidRPr="007D3D4F" w14:paraId="41F339C1" w14:textId="77777777" w:rsidTr="00A558EE">
        <w:trPr>
          <w:jc w:val="center"/>
        </w:trPr>
        <w:tc>
          <w:tcPr>
            <w:tcW w:w="0" w:type="auto"/>
            <w:shd w:val="clear" w:color="auto" w:fill="E7E6E6" w:themeFill="background2"/>
            <w:vAlign w:val="center"/>
          </w:tcPr>
          <w:p w14:paraId="1E929E53" w14:textId="77777777" w:rsidR="008D3BF6" w:rsidRPr="007D3D4F" w:rsidRDefault="008D3BF6" w:rsidP="00D81598">
            <w:pPr>
              <w:pStyle w:val="Listparagraf"/>
              <w:numPr>
                <w:ilvl w:val="0"/>
                <w:numId w:val="26"/>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79D08EA5"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ROSPA0031</w:t>
            </w:r>
          </w:p>
        </w:tc>
        <w:tc>
          <w:tcPr>
            <w:tcW w:w="0" w:type="auto"/>
            <w:shd w:val="clear" w:color="auto" w:fill="E7E6E6" w:themeFill="background2"/>
            <w:vAlign w:val="center"/>
          </w:tcPr>
          <w:p w14:paraId="50FD4E7F"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Delta Dunării și Complexul Razim - Sinoie</w:t>
            </w:r>
          </w:p>
        </w:tc>
        <w:tc>
          <w:tcPr>
            <w:tcW w:w="0" w:type="auto"/>
            <w:shd w:val="clear" w:color="auto" w:fill="E7E6E6" w:themeFill="background2"/>
            <w:vAlign w:val="center"/>
          </w:tcPr>
          <w:p w14:paraId="20B93009"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512.820</w:t>
            </w:r>
          </w:p>
        </w:tc>
        <w:tc>
          <w:tcPr>
            <w:tcW w:w="0" w:type="auto"/>
            <w:shd w:val="clear" w:color="auto" w:fill="E7E6E6" w:themeFill="background2"/>
            <w:vAlign w:val="center"/>
          </w:tcPr>
          <w:p w14:paraId="7B749133"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456.410</w:t>
            </w:r>
          </w:p>
        </w:tc>
      </w:tr>
      <w:tr w:rsidR="008D3BF6" w:rsidRPr="007D3D4F" w14:paraId="379B04FD" w14:textId="77777777" w:rsidTr="00A558EE">
        <w:trPr>
          <w:jc w:val="center"/>
        </w:trPr>
        <w:tc>
          <w:tcPr>
            <w:tcW w:w="0" w:type="auto"/>
            <w:shd w:val="clear" w:color="auto" w:fill="E7E6E6" w:themeFill="background2"/>
            <w:vAlign w:val="center"/>
          </w:tcPr>
          <w:p w14:paraId="2AFB6E11" w14:textId="77777777" w:rsidR="008D3BF6" w:rsidRPr="007D3D4F" w:rsidRDefault="008D3BF6" w:rsidP="00D81598">
            <w:pPr>
              <w:pStyle w:val="Listparagraf"/>
              <w:numPr>
                <w:ilvl w:val="0"/>
                <w:numId w:val="26"/>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0ABA4A8F"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ROSPA0032</w:t>
            </w:r>
          </w:p>
        </w:tc>
        <w:tc>
          <w:tcPr>
            <w:tcW w:w="0" w:type="auto"/>
            <w:shd w:val="clear" w:color="auto" w:fill="E7E6E6" w:themeFill="background2"/>
            <w:vAlign w:val="center"/>
          </w:tcPr>
          <w:p w14:paraId="27CB1542"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Denis Tepe</w:t>
            </w:r>
          </w:p>
        </w:tc>
        <w:tc>
          <w:tcPr>
            <w:tcW w:w="0" w:type="auto"/>
            <w:shd w:val="clear" w:color="auto" w:fill="E7E6E6" w:themeFill="background2"/>
            <w:vAlign w:val="center"/>
          </w:tcPr>
          <w:p w14:paraId="34FB5F7E"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1.900</w:t>
            </w:r>
          </w:p>
        </w:tc>
        <w:tc>
          <w:tcPr>
            <w:tcW w:w="0" w:type="auto"/>
            <w:shd w:val="clear" w:color="auto" w:fill="E7E6E6" w:themeFill="background2"/>
            <w:vAlign w:val="center"/>
          </w:tcPr>
          <w:p w14:paraId="2A8B286F"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1.900</w:t>
            </w:r>
          </w:p>
        </w:tc>
      </w:tr>
      <w:tr w:rsidR="008D3BF6" w:rsidRPr="007D3D4F" w14:paraId="790ED20B" w14:textId="77777777" w:rsidTr="00A558EE">
        <w:trPr>
          <w:jc w:val="center"/>
        </w:trPr>
        <w:tc>
          <w:tcPr>
            <w:tcW w:w="0" w:type="auto"/>
            <w:shd w:val="clear" w:color="auto" w:fill="E7E6E6" w:themeFill="background2"/>
            <w:vAlign w:val="center"/>
          </w:tcPr>
          <w:p w14:paraId="511B2F82" w14:textId="77777777" w:rsidR="008D3BF6" w:rsidRPr="007D3D4F" w:rsidRDefault="008D3BF6" w:rsidP="00D81598">
            <w:pPr>
              <w:pStyle w:val="Listparagraf"/>
              <w:numPr>
                <w:ilvl w:val="0"/>
                <w:numId w:val="26"/>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1AFA60A6"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ROSPA0040</w:t>
            </w:r>
          </w:p>
        </w:tc>
        <w:tc>
          <w:tcPr>
            <w:tcW w:w="0" w:type="auto"/>
            <w:shd w:val="clear" w:color="auto" w:fill="E7E6E6" w:themeFill="background2"/>
            <w:vAlign w:val="center"/>
          </w:tcPr>
          <w:p w14:paraId="125A92A7"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DUNĂREA Veche - Brațul Măcin</w:t>
            </w:r>
          </w:p>
        </w:tc>
        <w:tc>
          <w:tcPr>
            <w:tcW w:w="0" w:type="auto"/>
            <w:shd w:val="clear" w:color="auto" w:fill="E7E6E6" w:themeFill="background2"/>
            <w:vAlign w:val="center"/>
          </w:tcPr>
          <w:p w14:paraId="37B8DC0C"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18.759</w:t>
            </w:r>
          </w:p>
        </w:tc>
        <w:tc>
          <w:tcPr>
            <w:tcW w:w="0" w:type="auto"/>
            <w:shd w:val="clear" w:color="auto" w:fill="E7E6E6" w:themeFill="background2"/>
            <w:vAlign w:val="center"/>
          </w:tcPr>
          <w:p w14:paraId="49DE87DC"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8.442</w:t>
            </w:r>
          </w:p>
        </w:tc>
      </w:tr>
      <w:tr w:rsidR="008D3BF6" w:rsidRPr="007D3D4F" w14:paraId="6CFD8891" w14:textId="77777777" w:rsidTr="00A558EE">
        <w:trPr>
          <w:jc w:val="center"/>
        </w:trPr>
        <w:tc>
          <w:tcPr>
            <w:tcW w:w="0" w:type="auto"/>
            <w:shd w:val="clear" w:color="auto" w:fill="E7E6E6" w:themeFill="background2"/>
            <w:vAlign w:val="center"/>
          </w:tcPr>
          <w:p w14:paraId="489CE901" w14:textId="77777777" w:rsidR="008D3BF6" w:rsidRPr="007D3D4F" w:rsidRDefault="008D3BF6" w:rsidP="00D81598">
            <w:pPr>
              <w:pStyle w:val="Listparagraf"/>
              <w:numPr>
                <w:ilvl w:val="0"/>
                <w:numId w:val="26"/>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46A3B2B0"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ROSPA0052</w:t>
            </w:r>
          </w:p>
        </w:tc>
        <w:tc>
          <w:tcPr>
            <w:tcW w:w="0" w:type="auto"/>
            <w:shd w:val="clear" w:color="auto" w:fill="E7E6E6" w:themeFill="background2"/>
            <w:vAlign w:val="center"/>
          </w:tcPr>
          <w:p w14:paraId="110AF649"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Lacul Beibugeac</w:t>
            </w:r>
          </w:p>
        </w:tc>
        <w:tc>
          <w:tcPr>
            <w:tcW w:w="0" w:type="auto"/>
            <w:shd w:val="clear" w:color="auto" w:fill="E7E6E6" w:themeFill="background2"/>
            <w:vAlign w:val="center"/>
          </w:tcPr>
          <w:p w14:paraId="6C971B05"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470</w:t>
            </w:r>
          </w:p>
        </w:tc>
        <w:tc>
          <w:tcPr>
            <w:tcW w:w="0" w:type="auto"/>
            <w:shd w:val="clear" w:color="auto" w:fill="E7E6E6" w:themeFill="background2"/>
            <w:vAlign w:val="center"/>
          </w:tcPr>
          <w:p w14:paraId="7BF47A1C"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470</w:t>
            </w:r>
          </w:p>
        </w:tc>
      </w:tr>
      <w:tr w:rsidR="008D3BF6" w:rsidRPr="007D3D4F" w14:paraId="4D94188C" w14:textId="77777777" w:rsidTr="00A558EE">
        <w:trPr>
          <w:jc w:val="center"/>
        </w:trPr>
        <w:tc>
          <w:tcPr>
            <w:tcW w:w="0" w:type="auto"/>
            <w:shd w:val="clear" w:color="auto" w:fill="E7E6E6" w:themeFill="background2"/>
            <w:vAlign w:val="center"/>
          </w:tcPr>
          <w:p w14:paraId="556D2161" w14:textId="77777777" w:rsidR="008D3BF6" w:rsidRPr="007D3D4F" w:rsidRDefault="008D3BF6" w:rsidP="00D81598">
            <w:pPr>
              <w:pStyle w:val="Listparagraf"/>
              <w:numPr>
                <w:ilvl w:val="0"/>
                <w:numId w:val="26"/>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56A66612"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ROSPA0076</w:t>
            </w:r>
          </w:p>
        </w:tc>
        <w:tc>
          <w:tcPr>
            <w:tcW w:w="0" w:type="auto"/>
            <w:shd w:val="clear" w:color="auto" w:fill="E7E6E6" w:themeFill="background2"/>
            <w:vAlign w:val="center"/>
          </w:tcPr>
          <w:p w14:paraId="48A6A697"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Marea Neagră</w:t>
            </w:r>
          </w:p>
        </w:tc>
        <w:tc>
          <w:tcPr>
            <w:tcW w:w="0" w:type="auto"/>
            <w:shd w:val="clear" w:color="auto" w:fill="E7E6E6" w:themeFill="background2"/>
            <w:vAlign w:val="center"/>
          </w:tcPr>
          <w:p w14:paraId="3C51D7D5"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140.143</w:t>
            </w:r>
          </w:p>
        </w:tc>
        <w:tc>
          <w:tcPr>
            <w:tcW w:w="0" w:type="auto"/>
            <w:shd w:val="clear" w:color="auto" w:fill="E7E6E6" w:themeFill="background2"/>
            <w:vAlign w:val="center"/>
          </w:tcPr>
          <w:p w14:paraId="2AD1CC37"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Marea Neagră</w:t>
            </w:r>
          </w:p>
        </w:tc>
      </w:tr>
      <w:tr w:rsidR="008D3BF6" w:rsidRPr="007D3D4F" w14:paraId="6BFF8DEA" w14:textId="77777777" w:rsidTr="00A558EE">
        <w:trPr>
          <w:jc w:val="center"/>
        </w:trPr>
        <w:tc>
          <w:tcPr>
            <w:tcW w:w="0" w:type="auto"/>
            <w:shd w:val="clear" w:color="auto" w:fill="E7E6E6" w:themeFill="background2"/>
            <w:vAlign w:val="center"/>
          </w:tcPr>
          <w:p w14:paraId="457E8009" w14:textId="77777777" w:rsidR="008D3BF6" w:rsidRPr="007D3D4F" w:rsidRDefault="008D3BF6" w:rsidP="00D81598">
            <w:pPr>
              <w:pStyle w:val="Listparagraf"/>
              <w:numPr>
                <w:ilvl w:val="0"/>
                <w:numId w:val="26"/>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2102B68F"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ROSPA0073</w:t>
            </w:r>
          </w:p>
        </w:tc>
        <w:tc>
          <w:tcPr>
            <w:tcW w:w="0" w:type="auto"/>
            <w:shd w:val="clear" w:color="auto" w:fill="E7E6E6" w:themeFill="background2"/>
            <w:vAlign w:val="center"/>
          </w:tcPr>
          <w:p w14:paraId="002244E6"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Măcin - Niculițel</w:t>
            </w:r>
          </w:p>
        </w:tc>
        <w:tc>
          <w:tcPr>
            <w:tcW w:w="0" w:type="auto"/>
            <w:shd w:val="clear" w:color="auto" w:fill="E7E6E6" w:themeFill="background2"/>
            <w:vAlign w:val="center"/>
          </w:tcPr>
          <w:p w14:paraId="3DB9E0D4"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67.361</w:t>
            </w:r>
          </w:p>
        </w:tc>
        <w:tc>
          <w:tcPr>
            <w:tcW w:w="0" w:type="auto"/>
            <w:shd w:val="clear" w:color="auto" w:fill="E7E6E6" w:themeFill="background2"/>
            <w:vAlign w:val="center"/>
          </w:tcPr>
          <w:p w14:paraId="1EF3047A"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67.361</w:t>
            </w:r>
          </w:p>
        </w:tc>
      </w:tr>
      <w:tr w:rsidR="008D3BF6" w:rsidRPr="007D3D4F" w14:paraId="2E2C7143" w14:textId="77777777" w:rsidTr="00A558EE">
        <w:trPr>
          <w:jc w:val="center"/>
        </w:trPr>
        <w:tc>
          <w:tcPr>
            <w:tcW w:w="0" w:type="auto"/>
            <w:shd w:val="clear" w:color="auto" w:fill="E7E6E6" w:themeFill="background2"/>
            <w:vAlign w:val="center"/>
          </w:tcPr>
          <w:p w14:paraId="45F442CB" w14:textId="77777777" w:rsidR="008D3BF6" w:rsidRPr="007D3D4F" w:rsidRDefault="008D3BF6" w:rsidP="00D81598">
            <w:pPr>
              <w:pStyle w:val="Listparagraf"/>
              <w:numPr>
                <w:ilvl w:val="0"/>
                <w:numId w:val="26"/>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46B33818"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ROSPA0091</w:t>
            </w:r>
          </w:p>
        </w:tc>
        <w:tc>
          <w:tcPr>
            <w:tcW w:w="0" w:type="auto"/>
            <w:shd w:val="clear" w:color="auto" w:fill="E7E6E6" w:themeFill="background2"/>
            <w:vAlign w:val="center"/>
          </w:tcPr>
          <w:p w14:paraId="647BBC18"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Pădurea Babadag</w:t>
            </w:r>
          </w:p>
        </w:tc>
        <w:tc>
          <w:tcPr>
            <w:tcW w:w="0" w:type="auto"/>
            <w:shd w:val="clear" w:color="auto" w:fill="E7E6E6" w:themeFill="background2"/>
            <w:vAlign w:val="center"/>
          </w:tcPr>
          <w:p w14:paraId="79EBDA94"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58.473</w:t>
            </w:r>
          </w:p>
        </w:tc>
        <w:tc>
          <w:tcPr>
            <w:tcW w:w="0" w:type="auto"/>
            <w:shd w:val="clear" w:color="auto" w:fill="E7E6E6" w:themeFill="background2"/>
            <w:vAlign w:val="center"/>
          </w:tcPr>
          <w:p w14:paraId="682D5540"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58.473</w:t>
            </w:r>
          </w:p>
        </w:tc>
      </w:tr>
      <w:tr w:rsidR="008D3BF6" w:rsidRPr="007D3D4F" w14:paraId="2FD14CF3" w14:textId="77777777" w:rsidTr="00A558EE">
        <w:trPr>
          <w:jc w:val="center"/>
        </w:trPr>
        <w:tc>
          <w:tcPr>
            <w:tcW w:w="0" w:type="auto"/>
            <w:shd w:val="clear" w:color="auto" w:fill="E7E6E6" w:themeFill="background2"/>
            <w:vAlign w:val="center"/>
          </w:tcPr>
          <w:p w14:paraId="7A01D839" w14:textId="77777777" w:rsidR="008D3BF6" w:rsidRPr="007D3D4F" w:rsidRDefault="008D3BF6" w:rsidP="00D81598">
            <w:pPr>
              <w:pStyle w:val="Listparagraf"/>
              <w:numPr>
                <w:ilvl w:val="0"/>
                <w:numId w:val="26"/>
              </w:numPr>
              <w:spacing w:after="0" w:line="240" w:lineRule="auto"/>
              <w:rPr>
                <w:rFonts w:ascii="Times New Roman" w:eastAsia="MS Mincho" w:hAnsi="Times New Roman" w:cs="Times New Roman"/>
                <w:kern w:val="0"/>
                <w:sz w:val="20"/>
                <w:szCs w:val="20"/>
                <w14:ligatures w14:val="none"/>
              </w:rPr>
            </w:pPr>
          </w:p>
        </w:tc>
        <w:tc>
          <w:tcPr>
            <w:tcW w:w="0" w:type="auto"/>
            <w:shd w:val="clear" w:color="auto" w:fill="E7E6E6" w:themeFill="background2"/>
            <w:vAlign w:val="center"/>
          </w:tcPr>
          <w:p w14:paraId="33D10E73" w14:textId="77777777" w:rsidR="008D3BF6" w:rsidRPr="007D3D4F" w:rsidRDefault="008D3BF6" w:rsidP="00D44A1A">
            <w:pPr>
              <w:spacing w:after="0" w:line="240" w:lineRule="auto"/>
              <w:contextualSpacing/>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ROSPA0100</w:t>
            </w:r>
          </w:p>
        </w:tc>
        <w:tc>
          <w:tcPr>
            <w:tcW w:w="0" w:type="auto"/>
            <w:shd w:val="clear" w:color="auto" w:fill="E7E6E6" w:themeFill="background2"/>
            <w:vAlign w:val="center"/>
          </w:tcPr>
          <w:p w14:paraId="76242279"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Stepa Casimcea</w:t>
            </w:r>
          </w:p>
        </w:tc>
        <w:tc>
          <w:tcPr>
            <w:tcW w:w="0" w:type="auto"/>
            <w:shd w:val="clear" w:color="auto" w:fill="E7E6E6" w:themeFill="background2"/>
            <w:vAlign w:val="center"/>
          </w:tcPr>
          <w:p w14:paraId="634B6DD9"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22.226</w:t>
            </w:r>
          </w:p>
        </w:tc>
        <w:tc>
          <w:tcPr>
            <w:tcW w:w="0" w:type="auto"/>
            <w:shd w:val="clear" w:color="auto" w:fill="E7E6E6" w:themeFill="background2"/>
            <w:vAlign w:val="center"/>
          </w:tcPr>
          <w:p w14:paraId="5FC1FB44" w14:textId="77777777" w:rsidR="008D3BF6" w:rsidRPr="007D3D4F" w:rsidRDefault="008D3BF6" w:rsidP="00D44A1A">
            <w:pPr>
              <w:spacing w:after="0" w:line="240" w:lineRule="auto"/>
              <w:contextualSpacing/>
              <w:jc w:val="center"/>
              <w:rPr>
                <w:rFonts w:ascii="Times New Roman" w:eastAsia="MS Mincho" w:hAnsi="Times New Roman" w:cs="Times New Roman"/>
                <w:kern w:val="0"/>
                <w:sz w:val="20"/>
                <w:szCs w:val="20"/>
                <w14:ligatures w14:val="none"/>
              </w:rPr>
            </w:pPr>
            <w:r w:rsidRPr="007D3D4F">
              <w:rPr>
                <w:rFonts w:ascii="Times New Roman" w:hAnsi="Times New Roman" w:cs="Times New Roman"/>
                <w:sz w:val="20"/>
                <w:szCs w:val="20"/>
              </w:rPr>
              <w:t>22.226</w:t>
            </w:r>
          </w:p>
        </w:tc>
      </w:tr>
      <w:tr w:rsidR="008D3BF6" w:rsidRPr="007D3D4F" w14:paraId="01FE17D6" w14:textId="77777777" w:rsidTr="00A558EE">
        <w:trPr>
          <w:jc w:val="center"/>
        </w:trPr>
        <w:tc>
          <w:tcPr>
            <w:tcW w:w="0" w:type="auto"/>
            <w:gridSpan w:val="4"/>
            <w:shd w:val="clear" w:color="auto" w:fill="C00000"/>
            <w:vAlign w:val="center"/>
          </w:tcPr>
          <w:p w14:paraId="0B81D9AD"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Total suprafață ocupată de arii de protecție specială avifaunistică</w:t>
            </w:r>
          </w:p>
        </w:tc>
        <w:tc>
          <w:tcPr>
            <w:tcW w:w="0" w:type="auto"/>
            <w:shd w:val="clear" w:color="auto" w:fill="C00000"/>
            <w:vAlign w:val="center"/>
          </w:tcPr>
          <w:p w14:paraId="0F887BB2" w14:textId="77777777" w:rsidR="008D3BF6" w:rsidRPr="007D3D4F" w:rsidRDefault="008D3BF6" w:rsidP="00D44A1A">
            <w:pPr>
              <w:spacing w:after="0" w:line="240" w:lineRule="auto"/>
              <w:contextualSpacing/>
              <w:jc w:val="center"/>
              <w:rPr>
                <w:rFonts w:ascii="Times New Roman" w:eastAsia="MS Mincho" w:hAnsi="Times New Roman" w:cs="Times New Roman"/>
                <w:b/>
                <w:bCs/>
                <w:kern w:val="0"/>
                <w:sz w:val="20"/>
                <w:szCs w:val="20"/>
                <w14:ligatures w14:val="none"/>
              </w:rPr>
            </w:pPr>
            <w:r w:rsidRPr="007D3D4F">
              <w:rPr>
                <w:rFonts w:ascii="Times New Roman" w:eastAsia="MS Mincho" w:hAnsi="Times New Roman" w:cs="Times New Roman"/>
                <w:b/>
                <w:bCs/>
                <w:kern w:val="0"/>
                <w:sz w:val="20"/>
                <w:szCs w:val="20"/>
                <w14:ligatures w14:val="none"/>
              </w:rPr>
              <w:t>618.945</w:t>
            </w:r>
          </w:p>
        </w:tc>
      </w:tr>
    </w:tbl>
    <w:p w14:paraId="0BE51AC0" w14:textId="77777777" w:rsidR="008D3BF6" w:rsidRPr="007D3D4F" w:rsidRDefault="008D3BF6" w:rsidP="004C072F">
      <w:pPr>
        <w:pStyle w:val="Smn"/>
        <w:contextualSpacing/>
        <w:jc w:val="center"/>
        <w:rPr>
          <w:rFonts w:ascii="Times New Roman" w:hAnsi="Times New Roman" w:cs="Times New Roman"/>
          <w:sz w:val="20"/>
          <w:szCs w:val="20"/>
        </w:rPr>
      </w:pPr>
      <w:r w:rsidRPr="007D3D4F">
        <w:rPr>
          <w:rFonts w:ascii="Times New Roman" w:hAnsi="Times New Roman" w:cs="Times New Roman"/>
          <w:b/>
          <w:bCs/>
          <w:sz w:val="20"/>
          <w:szCs w:val="20"/>
        </w:rPr>
        <w:t>Sursa:</w:t>
      </w:r>
      <w:r w:rsidRPr="007D3D4F">
        <w:rPr>
          <w:rFonts w:ascii="Times New Roman" w:hAnsi="Times New Roman" w:cs="Times New Roman"/>
          <w:sz w:val="20"/>
          <w:szCs w:val="20"/>
        </w:rPr>
        <w:t xml:space="preserve"> ANMAP, Raport anual privind starea factorilor de mediu în judeţul Tulcea, anul 2023</w:t>
      </w:r>
    </w:p>
    <w:p w14:paraId="3AC76FAE" w14:textId="77777777" w:rsidR="00D44A1A" w:rsidRPr="007D3D4F" w:rsidRDefault="00D44A1A" w:rsidP="004C072F">
      <w:pPr>
        <w:pStyle w:val="Smn"/>
        <w:contextualSpacing/>
        <w:jc w:val="center"/>
        <w:rPr>
          <w:rFonts w:ascii="Times New Roman" w:hAnsi="Times New Roman" w:cs="Times New Roman"/>
          <w:sz w:val="22"/>
          <w:szCs w:val="22"/>
        </w:rPr>
      </w:pPr>
    </w:p>
    <w:p w14:paraId="6F3FFF75" w14:textId="1E5602DE" w:rsidR="008D3BF6" w:rsidRPr="007D3D4F" w:rsidRDefault="008D3BF6"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Datele ilustrează distribuția suprafețelor protejate din judeţul Tulcea, raportate la suprafața administrativă totală de 849.900 ha, astfel:</w:t>
      </w:r>
    </w:p>
    <w:p w14:paraId="053815D2" w14:textId="77777777" w:rsidR="008D3BF6" w:rsidRPr="007D3D4F" w:rsidRDefault="008D3BF6" w:rsidP="004C072F">
      <w:pPr>
        <w:pStyle w:val="Smn"/>
        <w:contextualSpacing/>
        <w:jc w:val="center"/>
        <w:rPr>
          <w:rFonts w:ascii="Times New Roman" w:hAnsi="Times New Roman" w:cs="Times New Roman"/>
          <w:sz w:val="22"/>
          <w:szCs w:val="22"/>
        </w:rPr>
      </w:pPr>
      <w:r w:rsidRPr="007D3D4F">
        <w:rPr>
          <w:rFonts w:ascii="Times New Roman" w:hAnsi="Times New Roman" w:cs="Times New Roman"/>
          <w:noProof/>
          <w:sz w:val="22"/>
          <w:szCs w:val="22"/>
          <w:lang w:eastAsia="ro-RO"/>
        </w:rPr>
        <w:drawing>
          <wp:inline distT="0" distB="0" distL="0" distR="0" wp14:anchorId="70BEE00A" wp14:editId="56763DEE">
            <wp:extent cx="5941695" cy="2137144"/>
            <wp:effectExtent l="0" t="0" r="1905" b="0"/>
            <wp:docPr id="88373829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EA8FD4-DB17-024D-3DEE-8435D89D7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A9DA40" w14:textId="5C2FEB32" w:rsidR="008D3BF6" w:rsidRPr="007D3D4F" w:rsidRDefault="008D3BF6" w:rsidP="004C072F">
      <w:pPr>
        <w:spacing w:before="120" w:after="120" w:line="240" w:lineRule="auto"/>
        <w:contextualSpacing/>
        <w:jc w:val="center"/>
        <w:rPr>
          <w:rFonts w:ascii="Times New Roman" w:hAnsi="Times New Roman" w:cs="Times New Roman"/>
          <w:b/>
          <w:bCs/>
        </w:rPr>
      </w:pPr>
      <w:r w:rsidRPr="007D3D4F">
        <w:rPr>
          <w:rFonts w:ascii="Times New Roman" w:hAnsi="Times New Roman" w:cs="Times New Roman"/>
          <w:b/>
          <w:bCs/>
        </w:rPr>
        <w:t xml:space="preserve">Figura nr. </w:t>
      </w:r>
      <w:r w:rsidRPr="007D3D4F">
        <w:rPr>
          <w:rFonts w:ascii="Times New Roman" w:hAnsi="Times New Roman" w:cs="Times New Roman"/>
          <w:b/>
          <w:bCs/>
        </w:rPr>
        <w:fldChar w:fldCharType="begin"/>
      </w:r>
      <w:r w:rsidRPr="007D3D4F">
        <w:rPr>
          <w:rFonts w:ascii="Times New Roman" w:hAnsi="Times New Roman" w:cs="Times New Roman"/>
          <w:b/>
          <w:bCs/>
        </w:rPr>
        <w:instrText xml:space="preserve"> SEQ Figura_nr. \* ARABIC </w:instrText>
      </w:r>
      <w:r w:rsidRPr="007D3D4F">
        <w:rPr>
          <w:rFonts w:ascii="Times New Roman" w:hAnsi="Times New Roman" w:cs="Times New Roman"/>
          <w:b/>
          <w:bCs/>
        </w:rPr>
        <w:fldChar w:fldCharType="separate"/>
      </w:r>
      <w:r w:rsidR="00D27FB3">
        <w:rPr>
          <w:rFonts w:ascii="Times New Roman" w:hAnsi="Times New Roman" w:cs="Times New Roman"/>
          <w:b/>
          <w:bCs/>
          <w:noProof/>
        </w:rPr>
        <w:t>1</w:t>
      </w:r>
      <w:r w:rsidRPr="007D3D4F">
        <w:rPr>
          <w:rFonts w:ascii="Times New Roman" w:hAnsi="Times New Roman" w:cs="Times New Roman"/>
          <w:b/>
          <w:bCs/>
        </w:rPr>
        <w:fldChar w:fldCharType="end"/>
      </w:r>
      <w:r w:rsidRPr="007D3D4F">
        <w:rPr>
          <w:rFonts w:ascii="Times New Roman" w:hAnsi="Times New Roman" w:cs="Times New Roman"/>
          <w:b/>
          <w:bCs/>
        </w:rPr>
        <w:t>:  Arii protejate pe categorii de importanță raportate la suprafața teritoriul județului Tulcea (%)</w:t>
      </w:r>
    </w:p>
    <w:p w14:paraId="3626B599" w14:textId="77777777" w:rsidR="008D3BF6" w:rsidRPr="007D3D4F" w:rsidRDefault="008D3BF6" w:rsidP="004C072F">
      <w:pPr>
        <w:pStyle w:val="Smn"/>
        <w:contextualSpacing/>
        <w:jc w:val="center"/>
        <w:rPr>
          <w:rFonts w:ascii="Times New Roman" w:hAnsi="Times New Roman" w:cs="Times New Roman"/>
          <w:sz w:val="22"/>
          <w:szCs w:val="22"/>
        </w:rPr>
      </w:pPr>
      <w:r w:rsidRPr="007D3D4F">
        <w:rPr>
          <w:rFonts w:ascii="Times New Roman" w:hAnsi="Times New Roman" w:cs="Times New Roman"/>
          <w:b/>
          <w:bCs/>
          <w:sz w:val="22"/>
          <w:szCs w:val="22"/>
        </w:rPr>
        <w:t>Sursa:</w:t>
      </w:r>
      <w:r w:rsidRPr="007D3D4F">
        <w:rPr>
          <w:rFonts w:ascii="Times New Roman" w:hAnsi="Times New Roman" w:cs="Times New Roman"/>
          <w:sz w:val="22"/>
          <w:szCs w:val="22"/>
        </w:rPr>
        <w:t xml:space="preserve"> Prelucrări statistice efectuate pe baza datelor publicate de ANMAP, Raport anual privind starea factorilor de mediu în judeţul Tulcea, anul 2023</w:t>
      </w:r>
    </w:p>
    <w:p w14:paraId="06117B16" w14:textId="77777777" w:rsidR="008D3BF6" w:rsidRPr="007D3D4F" w:rsidRDefault="008D3BF6" w:rsidP="00D81598">
      <w:pPr>
        <w:pStyle w:val="Smn"/>
        <w:numPr>
          <w:ilvl w:val="0"/>
          <w:numId w:val="27"/>
        </w:numPr>
        <w:contextualSpacing/>
        <w:rPr>
          <w:rFonts w:ascii="Times New Roman" w:hAnsi="Times New Roman" w:cs="Times New Roman"/>
          <w:b/>
          <w:bCs/>
          <w:sz w:val="22"/>
          <w:szCs w:val="22"/>
        </w:rPr>
      </w:pPr>
      <w:r w:rsidRPr="007D3D4F">
        <w:rPr>
          <w:rFonts w:ascii="Times New Roman" w:hAnsi="Times New Roman" w:cs="Times New Roman"/>
          <w:b/>
          <w:bCs/>
          <w:sz w:val="22"/>
          <w:szCs w:val="22"/>
        </w:rPr>
        <w:t>Arii naturale de interes naţional (2,45%)</w:t>
      </w:r>
    </w:p>
    <w:p w14:paraId="67ABBFED" w14:textId="77777777" w:rsidR="008D3BF6" w:rsidRPr="007D3D4F" w:rsidRDefault="008D3BF6"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Reprezintă o formă restrânsă de protecție, determinată de dimensiunile relativ mici ale rezervațiilor pe care le cuprinde (de exemplu, Pădurea Letea, Sărăturile Murighiol).</w:t>
      </w:r>
    </w:p>
    <w:p w14:paraId="42EEC522" w14:textId="77777777" w:rsidR="008D3BF6" w:rsidRPr="007D3D4F" w:rsidRDefault="008D3BF6" w:rsidP="00D81598">
      <w:pPr>
        <w:pStyle w:val="Smn"/>
        <w:numPr>
          <w:ilvl w:val="0"/>
          <w:numId w:val="27"/>
        </w:numPr>
        <w:contextualSpacing/>
        <w:rPr>
          <w:rFonts w:ascii="Times New Roman" w:hAnsi="Times New Roman" w:cs="Times New Roman"/>
          <w:b/>
          <w:bCs/>
          <w:sz w:val="22"/>
          <w:szCs w:val="22"/>
        </w:rPr>
      </w:pPr>
      <w:r w:rsidRPr="007D3D4F">
        <w:rPr>
          <w:rFonts w:ascii="Times New Roman" w:hAnsi="Times New Roman" w:cs="Times New Roman"/>
          <w:b/>
          <w:bCs/>
          <w:sz w:val="22"/>
          <w:szCs w:val="22"/>
        </w:rPr>
        <w:t>Arii naturale de interes internaţional (71,40%)</w:t>
      </w:r>
    </w:p>
    <w:p w14:paraId="5D0D819E" w14:textId="77777777" w:rsidR="008D3BF6" w:rsidRPr="007D3D4F" w:rsidRDefault="008D3BF6"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Cuprind majoritar Rezervația Biosferei Delta Dunării (580.000 ha) şi părţi din Parcul Naţional Munții Măcinului, subliniind recunoașterea internațională a valorilor ecologice unice ale Deltei.</w:t>
      </w:r>
    </w:p>
    <w:p w14:paraId="6A326330" w14:textId="77777777" w:rsidR="008D3BF6" w:rsidRPr="007D3D4F" w:rsidRDefault="008D3BF6" w:rsidP="00D81598">
      <w:pPr>
        <w:pStyle w:val="Smn"/>
        <w:numPr>
          <w:ilvl w:val="0"/>
          <w:numId w:val="27"/>
        </w:numPr>
        <w:contextualSpacing/>
        <w:rPr>
          <w:rFonts w:ascii="Times New Roman" w:hAnsi="Times New Roman" w:cs="Times New Roman"/>
          <w:b/>
          <w:bCs/>
          <w:sz w:val="22"/>
          <w:szCs w:val="22"/>
        </w:rPr>
      </w:pPr>
      <w:r w:rsidRPr="007D3D4F">
        <w:rPr>
          <w:rFonts w:ascii="Times New Roman" w:hAnsi="Times New Roman" w:cs="Times New Roman"/>
          <w:b/>
          <w:bCs/>
          <w:sz w:val="22"/>
          <w:szCs w:val="22"/>
        </w:rPr>
        <w:t>Situri de importanță comunitară (62,69%)</w:t>
      </w:r>
    </w:p>
    <w:p w14:paraId="2A140BA5" w14:textId="77777777" w:rsidR="008D3BF6" w:rsidRPr="007D3D4F" w:rsidRDefault="008D3BF6"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Reunesc arii extinse din rețeaua Natura 2000 (ROSCI0065 „Delta Dunării”, ROSCI0123 „Munții Măcinului” etc.), evidențiind integrarea teritorială a judeţului Tulcea în politica europeană de conservare a biodiversității.</w:t>
      </w:r>
    </w:p>
    <w:p w14:paraId="5E0F7F4C" w14:textId="77777777" w:rsidR="008D3BF6" w:rsidRPr="007D3D4F" w:rsidRDefault="008D3BF6" w:rsidP="00D81598">
      <w:pPr>
        <w:pStyle w:val="Smn"/>
        <w:numPr>
          <w:ilvl w:val="0"/>
          <w:numId w:val="27"/>
        </w:numPr>
        <w:contextualSpacing/>
        <w:rPr>
          <w:rFonts w:ascii="Times New Roman" w:hAnsi="Times New Roman" w:cs="Times New Roman"/>
          <w:b/>
          <w:bCs/>
          <w:sz w:val="22"/>
          <w:szCs w:val="22"/>
        </w:rPr>
      </w:pPr>
      <w:r w:rsidRPr="007D3D4F">
        <w:rPr>
          <w:rFonts w:ascii="Times New Roman" w:hAnsi="Times New Roman" w:cs="Times New Roman"/>
          <w:b/>
          <w:bCs/>
          <w:sz w:val="22"/>
          <w:szCs w:val="22"/>
        </w:rPr>
        <w:t>Arii de protecție specială aviafaunistică (72,83%)</w:t>
      </w:r>
    </w:p>
    <w:p w14:paraId="139375F5" w14:textId="77777777" w:rsidR="008D3BF6" w:rsidRPr="007D3D4F" w:rsidRDefault="008D3BF6" w:rsidP="004C072F">
      <w:pPr>
        <w:pStyle w:val="Smn"/>
        <w:contextualSpacing/>
        <w:rPr>
          <w:rFonts w:ascii="Times New Roman" w:hAnsi="Times New Roman" w:cs="Times New Roman"/>
          <w:sz w:val="22"/>
          <w:szCs w:val="22"/>
        </w:rPr>
      </w:pPr>
      <w:r w:rsidRPr="007D3D4F">
        <w:rPr>
          <w:rFonts w:ascii="Times New Roman" w:hAnsi="Times New Roman" w:cs="Times New Roman"/>
          <w:sz w:val="22"/>
          <w:szCs w:val="22"/>
        </w:rPr>
        <w:t>Înglobează situri cheie pentru avifauna migratoare şi sedentară (de ex. ROSPA0031 „Delta Dunării şi Complexul Razim-Sinoie”, ROSPA0076 „Marea Neagră”), reflectând importanța strategică a habitatelor acvatice şi palustre.</w:t>
      </w:r>
      <w:r w:rsidRPr="007D3D4F">
        <w:rPr>
          <w:rStyle w:val="Referinnotdesubsol"/>
          <w:rFonts w:ascii="Times New Roman" w:hAnsi="Times New Roman" w:cs="Times New Roman"/>
          <w:sz w:val="22"/>
          <w:szCs w:val="22"/>
        </w:rPr>
        <w:footnoteReference w:id="24"/>
      </w:r>
    </w:p>
    <w:p w14:paraId="6CE432EC" w14:textId="77777777" w:rsidR="00204DBB" w:rsidRPr="007D3D4F" w:rsidRDefault="00204DBB" w:rsidP="004C072F">
      <w:pPr>
        <w:pStyle w:val="Smn"/>
        <w:ind w:left="57"/>
        <w:contextualSpacing/>
        <w:rPr>
          <w:rFonts w:ascii="Times New Roman" w:hAnsi="Times New Roman" w:cs="Times New Roman"/>
          <w:b/>
          <w:bCs/>
          <w:sz w:val="22"/>
          <w:szCs w:val="22"/>
        </w:rPr>
      </w:pPr>
    </w:p>
    <w:p w14:paraId="10F9267D" w14:textId="4C47BB69" w:rsidR="004767A3" w:rsidRPr="007D3D4F" w:rsidRDefault="004767A3" w:rsidP="00D81598">
      <w:pPr>
        <w:pStyle w:val="Smn"/>
        <w:numPr>
          <w:ilvl w:val="0"/>
          <w:numId w:val="28"/>
        </w:numPr>
        <w:ind w:left="414" w:hanging="357"/>
        <w:contextualSpacing/>
        <w:rPr>
          <w:rFonts w:ascii="Times New Roman" w:hAnsi="Times New Roman" w:cs="Times New Roman"/>
          <w:sz w:val="22"/>
          <w:szCs w:val="22"/>
        </w:rPr>
      </w:pPr>
      <w:r w:rsidRPr="007D3D4F">
        <w:rPr>
          <w:rFonts w:ascii="Times New Roman" w:hAnsi="Times New Roman" w:cs="Times New Roman"/>
          <w:b/>
          <w:bCs/>
          <w:sz w:val="22"/>
          <w:szCs w:val="22"/>
        </w:rPr>
        <w:lastRenderedPageBreak/>
        <w:t>Prelucr</w:t>
      </w:r>
      <w:r w:rsidR="00370808" w:rsidRPr="007D3D4F">
        <w:rPr>
          <w:rFonts w:ascii="Times New Roman" w:hAnsi="Times New Roman" w:cs="Times New Roman"/>
          <w:b/>
          <w:bCs/>
          <w:sz w:val="22"/>
          <w:szCs w:val="22"/>
        </w:rPr>
        <w:t>ări statistice –</w:t>
      </w:r>
      <w:r w:rsidR="00370808" w:rsidRPr="007D3D4F">
        <w:rPr>
          <w:rFonts w:ascii="Times New Roman" w:hAnsi="Times New Roman" w:cs="Times New Roman"/>
          <w:sz w:val="22"/>
          <w:szCs w:val="22"/>
        </w:rPr>
        <w:t xml:space="preserve"> </w:t>
      </w:r>
      <w:r w:rsidR="008D3BF6" w:rsidRPr="007D3D4F">
        <w:rPr>
          <w:rFonts w:ascii="Times New Roman" w:hAnsi="Times New Roman" w:cs="Times New Roman"/>
          <w:sz w:val="22"/>
          <w:szCs w:val="22"/>
        </w:rPr>
        <w:t xml:space="preserve">Capitolul 3, </w:t>
      </w:r>
      <w:r w:rsidR="00370808" w:rsidRPr="007D3D4F">
        <w:rPr>
          <w:rFonts w:ascii="Times New Roman" w:hAnsi="Times New Roman" w:cs="Times New Roman"/>
          <w:i/>
          <w:iCs/>
          <w:sz w:val="22"/>
          <w:szCs w:val="22"/>
        </w:rPr>
        <w:t>subcapitolul 3.1. Structura teritorială, demografie, navetism</w:t>
      </w:r>
    </w:p>
    <w:p w14:paraId="6381C8C3" w14:textId="77777777" w:rsidR="00204DBB" w:rsidRPr="007D3D4F" w:rsidRDefault="00204DBB" w:rsidP="004C072F">
      <w:pPr>
        <w:pStyle w:val="Smn"/>
        <w:ind w:left="720"/>
        <w:contextualSpacing/>
        <w:rPr>
          <w:rFonts w:ascii="Times New Roman" w:hAnsi="Times New Roman" w:cs="Times New Roman"/>
          <w:b/>
          <w:bCs/>
          <w:sz w:val="22"/>
          <w:szCs w:val="22"/>
        </w:rPr>
      </w:pPr>
    </w:p>
    <w:p w14:paraId="146607FC" w14:textId="7A8421F9" w:rsidR="00184E36" w:rsidRPr="007D3D4F" w:rsidRDefault="00370808"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5</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xml:space="preserve">: </w:t>
      </w:r>
      <w:r w:rsidR="00963EA5" w:rsidRPr="007D3D4F">
        <w:rPr>
          <w:rFonts w:ascii="Times New Roman" w:hAnsi="Times New Roman" w:cs="Times New Roman"/>
          <w:b/>
          <w:bCs/>
          <w:i w:val="0"/>
          <w:iCs w:val="0"/>
          <w:color w:val="auto"/>
          <w:sz w:val="22"/>
          <w:szCs w:val="22"/>
        </w:rPr>
        <w:t>Distribuția populației în unitățile administrativ teritoriale ale județului Tulcea</w:t>
      </w: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7E6E6" w:themeFill="background2"/>
        <w:tblLayout w:type="fixed"/>
        <w:tblLook w:val="04A0" w:firstRow="1" w:lastRow="0" w:firstColumn="1" w:lastColumn="0" w:noHBand="0" w:noVBand="1"/>
      </w:tblPr>
      <w:tblGrid>
        <w:gridCol w:w="1552"/>
        <w:gridCol w:w="1552"/>
        <w:gridCol w:w="1553"/>
        <w:gridCol w:w="1552"/>
        <w:gridCol w:w="1552"/>
        <w:gridCol w:w="1553"/>
      </w:tblGrid>
      <w:tr w:rsidR="00963EA5" w:rsidRPr="007D3D4F" w14:paraId="4CA001EE" w14:textId="77777777" w:rsidTr="00A558EE">
        <w:trPr>
          <w:tblHeader/>
          <w:jc w:val="center"/>
        </w:trPr>
        <w:tc>
          <w:tcPr>
            <w:tcW w:w="1558" w:type="dxa"/>
            <w:shd w:val="clear" w:color="auto" w:fill="3B3838" w:themeFill="background2" w:themeFillShade="40"/>
            <w:noWrap/>
            <w:vAlign w:val="center"/>
            <w:hideMark/>
          </w:tcPr>
          <w:p w14:paraId="2912FAEB" w14:textId="77777777" w:rsidR="00963EA5" w:rsidRPr="007D3D4F" w:rsidRDefault="00963EA5"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U.A.T.</w:t>
            </w:r>
          </w:p>
        </w:tc>
        <w:tc>
          <w:tcPr>
            <w:tcW w:w="1558" w:type="dxa"/>
            <w:shd w:val="clear" w:color="auto" w:fill="3B3838" w:themeFill="background2" w:themeFillShade="40"/>
            <w:noWrap/>
            <w:vAlign w:val="center"/>
            <w:hideMark/>
          </w:tcPr>
          <w:p w14:paraId="5830DCEA" w14:textId="77777777" w:rsidR="00963EA5" w:rsidRPr="007D3D4F" w:rsidRDefault="00963EA5"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Anul 2020</w:t>
            </w:r>
          </w:p>
        </w:tc>
        <w:tc>
          <w:tcPr>
            <w:tcW w:w="1559" w:type="dxa"/>
            <w:shd w:val="clear" w:color="auto" w:fill="3B3838" w:themeFill="background2" w:themeFillShade="40"/>
            <w:noWrap/>
            <w:vAlign w:val="center"/>
            <w:hideMark/>
          </w:tcPr>
          <w:p w14:paraId="6597EB27" w14:textId="77777777" w:rsidR="00963EA5" w:rsidRPr="007D3D4F" w:rsidRDefault="00963EA5"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Anul 2021</w:t>
            </w:r>
          </w:p>
        </w:tc>
        <w:tc>
          <w:tcPr>
            <w:tcW w:w="1558" w:type="dxa"/>
            <w:shd w:val="clear" w:color="auto" w:fill="3B3838" w:themeFill="background2" w:themeFillShade="40"/>
            <w:noWrap/>
            <w:vAlign w:val="center"/>
            <w:hideMark/>
          </w:tcPr>
          <w:p w14:paraId="10251176" w14:textId="77777777" w:rsidR="00963EA5" w:rsidRPr="007D3D4F" w:rsidRDefault="00963EA5"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Anul 2022</w:t>
            </w:r>
          </w:p>
        </w:tc>
        <w:tc>
          <w:tcPr>
            <w:tcW w:w="1558" w:type="dxa"/>
            <w:shd w:val="clear" w:color="auto" w:fill="3B3838" w:themeFill="background2" w:themeFillShade="40"/>
            <w:noWrap/>
            <w:vAlign w:val="center"/>
            <w:hideMark/>
          </w:tcPr>
          <w:p w14:paraId="791B8A9F" w14:textId="77777777" w:rsidR="00963EA5" w:rsidRPr="007D3D4F" w:rsidRDefault="00963EA5"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Anul 2023</w:t>
            </w:r>
          </w:p>
        </w:tc>
        <w:tc>
          <w:tcPr>
            <w:tcW w:w="1559" w:type="dxa"/>
            <w:vMerge w:val="restart"/>
            <w:shd w:val="clear" w:color="auto" w:fill="3B3838" w:themeFill="background2" w:themeFillShade="40"/>
            <w:vAlign w:val="center"/>
          </w:tcPr>
          <w:p w14:paraId="30A1DCCA" w14:textId="741BAB49" w:rsidR="00963EA5" w:rsidRPr="007D3D4F" w:rsidRDefault="00963EA5"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 din total județean (anul 2023)</w:t>
            </w:r>
          </w:p>
        </w:tc>
      </w:tr>
      <w:tr w:rsidR="00370808" w:rsidRPr="007D3D4F" w14:paraId="686FED9D" w14:textId="77777777" w:rsidTr="00A558EE">
        <w:trPr>
          <w:jc w:val="center"/>
        </w:trPr>
        <w:tc>
          <w:tcPr>
            <w:tcW w:w="1558" w:type="dxa"/>
            <w:shd w:val="clear" w:color="auto" w:fill="AEAAAA" w:themeFill="background2" w:themeFillShade="BF"/>
            <w:noWrap/>
            <w:vAlign w:val="center"/>
            <w:hideMark/>
          </w:tcPr>
          <w:p w14:paraId="3176EB6B" w14:textId="77777777" w:rsidR="00963EA5" w:rsidRPr="007D3D4F" w:rsidRDefault="00963EA5"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Județul Tulcea</w:t>
            </w:r>
          </w:p>
        </w:tc>
        <w:tc>
          <w:tcPr>
            <w:tcW w:w="1558" w:type="dxa"/>
            <w:shd w:val="clear" w:color="auto" w:fill="AEAAAA" w:themeFill="background2" w:themeFillShade="BF"/>
            <w:noWrap/>
            <w:vAlign w:val="center"/>
            <w:hideMark/>
          </w:tcPr>
          <w:p w14:paraId="3A322730" w14:textId="77777777" w:rsidR="00963EA5" w:rsidRPr="007D3D4F" w:rsidRDefault="00963EA5"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45.820</w:t>
            </w:r>
          </w:p>
        </w:tc>
        <w:tc>
          <w:tcPr>
            <w:tcW w:w="1559" w:type="dxa"/>
            <w:shd w:val="clear" w:color="auto" w:fill="AEAAAA" w:themeFill="background2" w:themeFillShade="BF"/>
            <w:noWrap/>
            <w:vAlign w:val="center"/>
            <w:hideMark/>
          </w:tcPr>
          <w:p w14:paraId="31162292" w14:textId="77777777" w:rsidR="00963EA5" w:rsidRPr="007D3D4F" w:rsidRDefault="00963EA5"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46.822</w:t>
            </w:r>
          </w:p>
        </w:tc>
        <w:tc>
          <w:tcPr>
            <w:tcW w:w="1558" w:type="dxa"/>
            <w:shd w:val="clear" w:color="auto" w:fill="AEAAAA" w:themeFill="background2" w:themeFillShade="BF"/>
            <w:noWrap/>
            <w:vAlign w:val="center"/>
            <w:hideMark/>
          </w:tcPr>
          <w:p w14:paraId="3939157A" w14:textId="77777777" w:rsidR="00963EA5" w:rsidRPr="007D3D4F" w:rsidRDefault="00963EA5"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46.751</w:t>
            </w:r>
          </w:p>
        </w:tc>
        <w:tc>
          <w:tcPr>
            <w:tcW w:w="1558" w:type="dxa"/>
            <w:shd w:val="clear" w:color="auto" w:fill="AEAAAA" w:themeFill="background2" w:themeFillShade="BF"/>
            <w:noWrap/>
            <w:vAlign w:val="center"/>
            <w:hideMark/>
          </w:tcPr>
          <w:p w14:paraId="5DF9CC60" w14:textId="77777777" w:rsidR="00963EA5" w:rsidRPr="007D3D4F" w:rsidRDefault="00963EA5"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47.840</w:t>
            </w:r>
          </w:p>
        </w:tc>
        <w:tc>
          <w:tcPr>
            <w:tcW w:w="1559" w:type="dxa"/>
            <w:vMerge/>
            <w:shd w:val="clear" w:color="auto" w:fill="E7E6E6" w:themeFill="background2"/>
            <w:noWrap/>
            <w:vAlign w:val="center"/>
            <w:hideMark/>
          </w:tcPr>
          <w:p w14:paraId="53225DA9" w14:textId="77777777" w:rsidR="00963EA5" w:rsidRPr="007D3D4F" w:rsidRDefault="00963EA5"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p>
        </w:tc>
      </w:tr>
      <w:tr w:rsidR="00963EA5" w:rsidRPr="007D3D4F" w14:paraId="7A14160A" w14:textId="77777777" w:rsidTr="00A558EE">
        <w:trPr>
          <w:jc w:val="center"/>
        </w:trPr>
        <w:tc>
          <w:tcPr>
            <w:tcW w:w="1558" w:type="dxa"/>
            <w:shd w:val="clear" w:color="auto" w:fill="E7E6E6" w:themeFill="background2"/>
            <w:noWrap/>
            <w:vAlign w:val="center"/>
            <w:hideMark/>
          </w:tcPr>
          <w:p w14:paraId="28FB9C58"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Municipiul Tulcea</w:t>
            </w:r>
          </w:p>
        </w:tc>
        <w:tc>
          <w:tcPr>
            <w:tcW w:w="1558" w:type="dxa"/>
            <w:shd w:val="clear" w:color="auto" w:fill="E7E6E6" w:themeFill="background2"/>
            <w:noWrap/>
            <w:vAlign w:val="center"/>
            <w:hideMark/>
          </w:tcPr>
          <w:p w14:paraId="57A99C8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30.333</w:t>
            </w:r>
          </w:p>
        </w:tc>
        <w:tc>
          <w:tcPr>
            <w:tcW w:w="1559" w:type="dxa"/>
            <w:shd w:val="clear" w:color="auto" w:fill="E7E6E6" w:themeFill="background2"/>
            <w:noWrap/>
            <w:vAlign w:val="center"/>
            <w:hideMark/>
          </w:tcPr>
          <w:p w14:paraId="20E7E37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31.975</w:t>
            </w:r>
          </w:p>
        </w:tc>
        <w:tc>
          <w:tcPr>
            <w:tcW w:w="1558" w:type="dxa"/>
            <w:shd w:val="clear" w:color="auto" w:fill="E7E6E6" w:themeFill="background2"/>
            <w:noWrap/>
            <w:vAlign w:val="center"/>
            <w:hideMark/>
          </w:tcPr>
          <w:p w14:paraId="7B0DBA3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32.640</w:t>
            </w:r>
          </w:p>
        </w:tc>
        <w:tc>
          <w:tcPr>
            <w:tcW w:w="1558" w:type="dxa"/>
            <w:shd w:val="clear" w:color="auto" w:fill="E7E6E6" w:themeFill="background2"/>
            <w:noWrap/>
            <w:vAlign w:val="center"/>
            <w:hideMark/>
          </w:tcPr>
          <w:p w14:paraId="58AEEC4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34.125</w:t>
            </w:r>
          </w:p>
        </w:tc>
        <w:tc>
          <w:tcPr>
            <w:tcW w:w="1559" w:type="dxa"/>
            <w:shd w:val="clear" w:color="auto" w:fill="E7E6E6" w:themeFill="background2"/>
            <w:noWrap/>
            <w:vAlign w:val="center"/>
            <w:hideMark/>
          </w:tcPr>
          <w:p w14:paraId="49AC826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71,33%</w:t>
            </w:r>
          </w:p>
        </w:tc>
      </w:tr>
      <w:tr w:rsidR="00963EA5" w:rsidRPr="007D3D4F" w14:paraId="4A06AE74" w14:textId="77777777" w:rsidTr="00A558EE">
        <w:trPr>
          <w:jc w:val="center"/>
        </w:trPr>
        <w:tc>
          <w:tcPr>
            <w:tcW w:w="1558" w:type="dxa"/>
            <w:shd w:val="clear" w:color="auto" w:fill="E7E6E6" w:themeFill="background2"/>
            <w:noWrap/>
            <w:vAlign w:val="center"/>
            <w:hideMark/>
          </w:tcPr>
          <w:p w14:paraId="6F9E6F4C"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Oraş Babadag</w:t>
            </w:r>
          </w:p>
        </w:tc>
        <w:tc>
          <w:tcPr>
            <w:tcW w:w="1558" w:type="dxa"/>
            <w:shd w:val="clear" w:color="auto" w:fill="E7E6E6" w:themeFill="background2"/>
            <w:noWrap/>
            <w:vAlign w:val="center"/>
            <w:hideMark/>
          </w:tcPr>
          <w:p w14:paraId="2C20A59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1.596</w:t>
            </w:r>
          </w:p>
        </w:tc>
        <w:tc>
          <w:tcPr>
            <w:tcW w:w="1559" w:type="dxa"/>
            <w:shd w:val="clear" w:color="auto" w:fill="E7E6E6" w:themeFill="background2"/>
            <w:noWrap/>
            <w:vAlign w:val="center"/>
            <w:hideMark/>
          </w:tcPr>
          <w:p w14:paraId="7B7CF90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1.716</w:t>
            </w:r>
          </w:p>
        </w:tc>
        <w:tc>
          <w:tcPr>
            <w:tcW w:w="1558" w:type="dxa"/>
            <w:shd w:val="clear" w:color="auto" w:fill="E7E6E6" w:themeFill="background2"/>
            <w:noWrap/>
            <w:vAlign w:val="center"/>
            <w:hideMark/>
          </w:tcPr>
          <w:p w14:paraId="046B633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1.545</w:t>
            </w:r>
          </w:p>
        </w:tc>
        <w:tc>
          <w:tcPr>
            <w:tcW w:w="1558" w:type="dxa"/>
            <w:shd w:val="clear" w:color="auto" w:fill="E7E6E6" w:themeFill="background2"/>
            <w:noWrap/>
            <w:vAlign w:val="center"/>
            <w:hideMark/>
          </w:tcPr>
          <w:p w14:paraId="26C9A8E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1.413</w:t>
            </w:r>
          </w:p>
        </w:tc>
        <w:tc>
          <w:tcPr>
            <w:tcW w:w="1559" w:type="dxa"/>
            <w:shd w:val="clear" w:color="auto" w:fill="E7E6E6" w:themeFill="background2"/>
            <w:noWrap/>
            <w:vAlign w:val="center"/>
            <w:hideMark/>
          </w:tcPr>
          <w:p w14:paraId="21620FD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2,95%</w:t>
            </w:r>
          </w:p>
        </w:tc>
      </w:tr>
      <w:tr w:rsidR="00963EA5" w:rsidRPr="007D3D4F" w14:paraId="7D99A5CE" w14:textId="77777777" w:rsidTr="00A558EE">
        <w:trPr>
          <w:jc w:val="center"/>
        </w:trPr>
        <w:tc>
          <w:tcPr>
            <w:tcW w:w="1558" w:type="dxa"/>
            <w:shd w:val="clear" w:color="auto" w:fill="E7E6E6" w:themeFill="background2"/>
            <w:noWrap/>
            <w:vAlign w:val="center"/>
            <w:hideMark/>
          </w:tcPr>
          <w:p w14:paraId="7D5F81F0"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Oraş Isaccea</w:t>
            </w:r>
          </w:p>
        </w:tc>
        <w:tc>
          <w:tcPr>
            <w:tcW w:w="1558" w:type="dxa"/>
            <w:shd w:val="clear" w:color="auto" w:fill="E7E6E6" w:themeFill="background2"/>
            <w:noWrap/>
            <w:vAlign w:val="center"/>
            <w:hideMark/>
          </w:tcPr>
          <w:p w14:paraId="5408C04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559</w:t>
            </w:r>
          </w:p>
        </w:tc>
        <w:tc>
          <w:tcPr>
            <w:tcW w:w="1559" w:type="dxa"/>
            <w:shd w:val="clear" w:color="auto" w:fill="E7E6E6" w:themeFill="background2"/>
            <w:noWrap/>
            <w:vAlign w:val="center"/>
            <w:hideMark/>
          </w:tcPr>
          <w:p w14:paraId="6EC674B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571</w:t>
            </w:r>
          </w:p>
        </w:tc>
        <w:tc>
          <w:tcPr>
            <w:tcW w:w="1558" w:type="dxa"/>
            <w:shd w:val="clear" w:color="auto" w:fill="E7E6E6" w:themeFill="background2"/>
            <w:noWrap/>
            <w:vAlign w:val="center"/>
            <w:hideMark/>
          </w:tcPr>
          <w:p w14:paraId="4E79289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409</w:t>
            </w:r>
          </w:p>
        </w:tc>
        <w:tc>
          <w:tcPr>
            <w:tcW w:w="1558" w:type="dxa"/>
            <w:shd w:val="clear" w:color="auto" w:fill="E7E6E6" w:themeFill="background2"/>
            <w:noWrap/>
            <w:vAlign w:val="center"/>
            <w:hideMark/>
          </w:tcPr>
          <w:p w14:paraId="1915F54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455</w:t>
            </w:r>
          </w:p>
        </w:tc>
        <w:tc>
          <w:tcPr>
            <w:tcW w:w="1559" w:type="dxa"/>
            <w:shd w:val="clear" w:color="auto" w:fill="E7E6E6" w:themeFill="background2"/>
            <w:noWrap/>
            <w:vAlign w:val="center"/>
            <w:hideMark/>
          </w:tcPr>
          <w:p w14:paraId="7A6E896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0,95%</w:t>
            </w:r>
          </w:p>
        </w:tc>
      </w:tr>
      <w:tr w:rsidR="00963EA5" w:rsidRPr="007D3D4F" w14:paraId="5B5F84F7" w14:textId="77777777" w:rsidTr="00A558EE">
        <w:trPr>
          <w:jc w:val="center"/>
        </w:trPr>
        <w:tc>
          <w:tcPr>
            <w:tcW w:w="1558" w:type="dxa"/>
            <w:shd w:val="clear" w:color="auto" w:fill="E7E6E6" w:themeFill="background2"/>
            <w:noWrap/>
            <w:vAlign w:val="center"/>
            <w:hideMark/>
          </w:tcPr>
          <w:p w14:paraId="0A7AC002"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Oraş Macin</w:t>
            </w:r>
          </w:p>
        </w:tc>
        <w:tc>
          <w:tcPr>
            <w:tcW w:w="1558" w:type="dxa"/>
            <w:shd w:val="clear" w:color="auto" w:fill="E7E6E6" w:themeFill="background2"/>
            <w:noWrap/>
            <w:vAlign w:val="center"/>
            <w:hideMark/>
          </w:tcPr>
          <w:p w14:paraId="2224BD0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2.395</w:t>
            </w:r>
          </w:p>
        </w:tc>
        <w:tc>
          <w:tcPr>
            <w:tcW w:w="1559" w:type="dxa"/>
            <w:shd w:val="clear" w:color="auto" w:fill="E7E6E6" w:themeFill="background2"/>
            <w:noWrap/>
            <w:vAlign w:val="center"/>
            <w:hideMark/>
          </w:tcPr>
          <w:p w14:paraId="7675A1F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2.037</w:t>
            </w:r>
          </w:p>
        </w:tc>
        <w:tc>
          <w:tcPr>
            <w:tcW w:w="1558" w:type="dxa"/>
            <w:shd w:val="clear" w:color="auto" w:fill="E7E6E6" w:themeFill="background2"/>
            <w:noWrap/>
            <w:vAlign w:val="center"/>
            <w:hideMark/>
          </w:tcPr>
          <w:p w14:paraId="19D47A4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1.966</w:t>
            </w:r>
          </w:p>
        </w:tc>
        <w:tc>
          <w:tcPr>
            <w:tcW w:w="1558" w:type="dxa"/>
            <w:shd w:val="clear" w:color="auto" w:fill="E7E6E6" w:themeFill="background2"/>
            <w:noWrap/>
            <w:vAlign w:val="center"/>
            <w:hideMark/>
          </w:tcPr>
          <w:p w14:paraId="0764742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1.913</w:t>
            </w:r>
          </w:p>
        </w:tc>
        <w:tc>
          <w:tcPr>
            <w:tcW w:w="1559" w:type="dxa"/>
            <w:shd w:val="clear" w:color="auto" w:fill="E7E6E6" w:themeFill="background2"/>
            <w:noWrap/>
            <w:vAlign w:val="center"/>
            <w:hideMark/>
          </w:tcPr>
          <w:p w14:paraId="33C9AF86"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4,00%</w:t>
            </w:r>
          </w:p>
        </w:tc>
      </w:tr>
      <w:tr w:rsidR="00963EA5" w:rsidRPr="007D3D4F" w14:paraId="64AFC225" w14:textId="77777777" w:rsidTr="00A558EE">
        <w:trPr>
          <w:jc w:val="center"/>
        </w:trPr>
        <w:tc>
          <w:tcPr>
            <w:tcW w:w="1558" w:type="dxa"/>
            <w:shd w:val="clear" w:color="auto" w:fill="E7E6E6" w:themeFill="background2"/>
            <w:noWrap/>
            <w:vAlign w:val="center"/>
            <w:hideMark/>
          </w:tcPr>
          <w:p w14:paraId="7A7CD709"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Oraş Sulina</w:t>
            </w:r>
          </w:p>
        </w:tc>
        <w:tc>
          <w:tcPr>
            <w:tcW w:w="1558" w:type="dxa"/>
            <w:shd w:val="clear" w:color="auto" w:fill="E7E6E6" w:themeFill="background2"/>
            <w:noWrap/>
            <w:vAlign w:val="center"/>
            <w:hideMark/>
          </w:tcPr>
          <w:p w14:paraId="22527646"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650</w:t>
            </w:r>
          </w:p>
        </w:tc>
        <w:tc>
          <w:tcPr>
            <w:tcW w:w="1559" w:type="dxa"/>
            <w:shd w:val="clear" w:color="auto" w:fill="E7E6E6" w:themeFill="background2"/>
            <w:noWrap/>
            <w:vAlign w:val="center"/>
            <w:hideMark/>
          </w:tcPr>
          <w:p w14:paraId="5090149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616</w:t>
            </w:r>
          </w:p>
        </w:tc>
        <w:tc>
          <w:tcPr>
            <w:tcW w:w="1558" w:type="dxa"/>
            <w:shd w:val="clear" w:color="auto" w:fill="E7E6E6" w:themeFill="background2"/>
            <w:noWrap/>
            <w:vAlign w:val="center"/>
            <w:hideMark/>
          </w:tcPr>
          <w:p w14:paraId="4273222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521</w:t>
            </w:r>
          </w:p>
        </w:tc>
        <w:tc>
          <w:tcPr>
            <w:tcW w:w="1558" w:type="dxa"/>
            <w:shd w:val="clear" w:color="auto" w:fill="E7E6E6" w:themeFill="background2"/>
            <w:noWrap/>
            <w:vAlign w:val="center"/>
            <w:hideMark/>
          </w:tcPr>
          <w:p w14:paraId="55F0F8B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470</w:t>
            </w:r>
          </w:p>
        </w:tc>
        <w:tc>
          <w:tcPr>
            <w:tcW w:w="1559" w:type="dxa"/>
            <w:shd w:val="clear" w:color="auto" w:fill="E7E6E6" w:themeFill="background2"/>
            <w:noWrap/>
            <w:vAlign w:val="center"/>
            <w:hideMark/>
          </w:tcPr>
          <w:p w14:paraId="1882958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0,98%</w:t>
            </w:r>
          </w:p>
        </w:tc>
      </w:tr>
      <w:tr w:rsidR="00963EA5" w:rsidRPr="007D3D4F" w14:paraId="3390D6FF" w14:textId="77777777" w:rsidTr="00A558EE">
        <w:trPr>
          <w:jc w:val="center"/>
        </w:trPr>
        <w:tc>
          <w:tcPr>
            <w:tcW w:w="1558" w:type="dxa"/>
            <w:shd w:val="clear" w:color="auto" w:fill="E7E6E6" w:themeFill="background2"/>
            <w:noWrap/>
            <w:vAlign w:val="center"/>
            <w:hideMark/>
          </w:tcPr>
          <w:p w14:paraId="45B7FEAD"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Baia</w:t>
            </w:r>
          </w:p>
        </w:tc>
        <w:tc>
          <w:tcPr>
            <w:tcW w:w="1558" w:type="dxa"/>
            <w:shd w:val="clear" w:color="auto" w:fill="E7E6E6" w:themeFill="background2"/>
            <w:noWrap/>
            <w:vAlign w:val="center"/>
            <w:hideMark/>
          </w:tcPr>
          <w:p w14:paraId="3EB208A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562</w:t>
            </w:r>
          </w:p>
        </w:tc>
        <w:tc>
          <w:tcPr>
            <w:tcW w:w="1559" w:type="dxa"/>
            <w:shd w:val="clear" w:color="auto" w:fill="E7E6E6" w:themeFill="background2"/>
            <w:noWrap/>
            <w:vAlign w:val="center"/>
            <w:hideMark/>
          </w:tcPr>
          <w:p w14:paraId="4F02549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414</w:t>
            </w:r>
          </w:p>
        </w:tc>
        <w:tc>
          <w:tcPr>
            <w:tcW w:w="1558" w:type="dxa"/>
            <w:shd w:val="clear" w:color="auto" w:fill="E7E6E6" w:themeFill="background2"/>
            <w:noWrap/>
            <w:vAlign w:val="center"/>
            <w:hideMark/>
          </w:tcPr>
          <w:p w14:paraId="27741CF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418</w:t>
            </w:r>
          </w:p>
        </w:tc>
        <w:tc>
          <w:tcPr>
            <w:tcW w:w="1558" w:type="dxa"/>
            <w:shd w:val="clear" w:color="auto" w:fill="E7E6E6" w:themeFill="background2"/>
            <w:noWrap/>
            <w:vAlign w:val="center"/>
            <w:hideMark/>
          </w:tcPr>
          <w:p w14:paraId="2C88101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377</w:t>
            </w:r>
          </w:p>
        </w:tc>
        <w:tc>
          <w:tcPr>
            <w:tcW w:w="1559" w:type="dxa"/>
            <w:shd w:val="clear" w:color="auto" w:fill="E7E6E6" w:themeFill="background2"/>
            <w:noWrap/>
            <w:vAlign w:val="center"/>
            <w:hideMark/>
          </w:tcPr>
          <w:p w14:paraId="7ADE0C7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0,79%</w:t>
            </w:r>
          </w:p>
        </w:tc>
      </w:tr>
      <w:tr w:rsidR="00963EA5" w:rsidRPr="007D3D4F" w14:paraId="7AB22E53" w14:textId="77777777" w:rsidTr="00A558EE">
        <w:trPr>
          <w:jc w:val="center"/>
        </w:trPr>
        <w:tc>
          <w:tcPr>
            <w:tcW w:w="1558" w:type="dxa"/>
            <w:shd w:val="clear" w:color="auto" w:fill="E7E6E6" w:themeFill="background2"/>
            <w:noWrap/>
            <w:vAlign w:val="center"/>
            <w:hideMark/>
          </w:tcPr>
          <w:p w14:paraId="5694BD17"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Beidaud</w:t>
            </w:r>
          </w:p>
        </w:tc>
        <w:tc>
          <w:tcPr>
            <w:tcW w:w="1558" w:type="dxa"/>
            <w:shd w:val="clear" w:color="auto" w:fill="E7E6E6" w:themeFill="background2"/>
            <w:noWrap/>
            <w:vAlign w:val="center"/>
            <w:hideMark/>
          </w:tcPr>
          <w:p w14:paraId="23270DF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140</w:t>
            </w:r>
          </w:p>
        </w:tc>
        <w:tc>
          <w:tcPr>
            <w:tcW w:w="1559" w:type="dxa"/>
            <w:shd w:val="clear" w:color="auto" w:fill="E7E6E6" w:themeFill="background2"/>
            <w:noWrap/>
            <w:vAlign w:val="center"/>
            <w:hideMark/>
          </w:tcPr>
          <w:p w14:paraId="2C50C60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240</w:t>
            </w:r>
          </w:p>
        </w:tc>
        <w:tc>
          <w:tcPr>
            <w:tcW w:w="1558" w:type="dxa"/>
            <w:shd w:val="clear" w:color="auto" w:fill="E7E6E6" w:themeFill="background2"/>
            <w:noWrap/>
            <w:vAlign w:val="center"/>
            <w:hideMark/>
          </w:tcPr>
          <w:p w14:paraId="31C9E4F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249</w:t>
            </w:r>
          </w:p>
        </w:tc>
        <w:tc>
          <w:tcPr>
            <w:tcW w:w="1558" w:type="dxa"/>
            <w:shd w:val="clear" w:color="auto" w:fill="E7E6E6" w:themeFill="background2"/>
            <w:noWrap/>
            <w:vAlign w:val="center"/>
            <w:hideMark/>
          </w:tcPr>
          <w:p w14:paraId="2960C8B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211</w:t>
            </w:r>
          </w:p>
        </w:tc>
        <w:tc>
          <w:tcPr>
            <w:tcW w:w="1559" w:type="dxa"/>
            <w:shd w:val="clear" w:color="auto" w:fill="E7E6E6" w:themeFill="background2"/>
            <w:noWrap/>
            <w:vAlign w:val="center"/>
            <w:hideMark/>
          </w:tcPr>
          <w:p w14:paraId="010011A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0,44%</w:t>
            </w:r>
          </w:p>
        </w:tc>
      </w:tr>
      <w:tr w:rsidR="00963EA5" w:rsidRPr="007D3D4F" w14:paraId="6A0C82FB" w14:textId="77777777" w:rsidTr="00A558EE">
        <w:trPr>
          <w:jc w:val="center"/>
        </w:trPr>
        <w:tc>
          <w:tcPr>
            <w:tcW w:w="1558" w:type="dxa"/>
            <w:shd w:val="clear" w:color="auto" w:fill="E7E6E6" w:themeFill="background2"/>
            <w:noWrap/>
            <w:vAlign w:val="center"/>
            <w:hideMark/>
          </w:tcPr>
          <w:p w14:paraId="20A80D42"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Beștepe</w:t>
            </w:r>
          </w:p>
        </w:tc>
        <w:tc>
          <w:tcPr>
            <w:tcW w:w="1558" w:type="dxa"/>
            <w:shd w:val="clear" w:color="auto" w:fill="E7E6E6" w:themeFill="background2"/>
            <w:noWrap/>
            <w:vAlign w:val="center"/>
            <w:hideMark/>
          </w:tcPr>
          <w:p w14:paraId="6A11599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96</w:t>
            </w:r>
          </w:p>
        </w:tc>
        <w:tc>
          <w:tcPr>
            <w:tcW w:w="1559" w:type="dxa"/>
            <w:shd w:val="clear" w:color="auto" w:fill="E7E6E6" w:themeFill="background2"/>
            <w:noWrap/>
            <w:vAlign w:val="center"/>
            <w:hideMark/>
          </w:tcPr>
          <w:p w14:paraId="36A6F40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134</w:t>
            </w:r>
          </w:p>
        </w:tc>
        <w:tc>
          <w:tcPr>
            <w:tcW w:w="1558" w:type="dxa"/>
            <w:shd w:val="clear" w:color="auto" w:fill="E7E6E6" w:themeFill="background2"/>
            <w:noWrap/>
            <w:vAlign w:val="center"/>
            <w:hideMark/>
          </w:tcPr>
          <w:p w14:paraId="3DECD29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132</w:t>
            </w:r>
          </w:p>
        </w:tc>
        <w:tc>
          <w:tcPr>
            <w:tcW w:w="1558" w:type="dxa"/>
            <w:shd w:val="clear" w:color="auto" w:fill="E7E6E6" w:themeFill="background2"/>
            <w:noWrap/>
            <w:vAlign w:val="center"/>
            <w:hideMark/>
          </w:tcPr>
          <w:p w14:paraId="4158A69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137</w:t>
            </w:r>
          </w:p>
        </w:tc>
        <w:tc>
          <w:tcPr>
            <w:tcW w:w="1559" w:type="dxa"/>
            <w:shd w:val="clear" w:color="auto" w:fill="E7E6E6" w:themeFill="background2"/>
            <w:noWrap/>
            <w:vAlign w:val="center"/>
            <w:hideMark/>
          </w:tcPr>
          <w:p w14:paraId="00FC4C6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0,29%</w:t>
            </w:r>
          </w:p>
        </w:tc>
      </w:tr>
      <w:tr w:rsidR="00963EA5" w:rsidRPr="007D3D4F" w14:paraId="6E996135" w14:textId="77777777" w:rsidTr="00A558EE">
        <w:trPr>
          <w:jc w:val="center"/>
        </w:trPr>
        <w:tc>
          <w:tcPr>
            <w:tcW w:w="1558" w:type="dxa"/>
            <w:shd w:val="clear" w:color="auto" w:fill="E7E6E6" w:themeFill="background2"/>
            <w:noWrap/>
            <w:vAlign w:val="center"/>
            <w:hideMark/>
          </w:tcPr>
          <w:p w14:paraId="7D09B66A"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C.A. Rosetti</w:t>
            </w:r>
          </w:p>
        </w:tc>
        <w:tc>
          <w:tcPr>
            <w:tcW w:w="1558" w:type="dxa"/>
            <w:shd w:val="clear" w:color="auto" w:fill="E7E6E6" w:themeFill="background2"/>
            <w:noWrap/>
            <w:vAlign w:val="center"/>
            <w:hideMark/>
          </w:tcPr>
          <w:p w14:paraId="78A8070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58</w:t>
            </w:r>
          </w:p>
        </w:tc>
        <w:tc>
          <w:tcPr>
            <w:tcW w:w="1559" w:type="dxa"/>
            <w:shd w:val="clear" w:color="auto" w:fill="E7E6E6" w:themeFill="background2"/>
            <w:noWrap/>
            <w:vAlign w:val="center"/>
            <w:hideMark/>
          </w:tcPr>
          <w:p w14:paraId="61218D0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46</w:t>
            </w:r>
          </w:p>
        </w:tc>
        <w:tc>
          <w:tcPr>
            <w:tcW w:w="1558" w:type="dxa"/>
            <w:shd w:val="clear" w:color="auto" w:fill="E7E6E6" w:themeFill="background2"/>
            <w:noWrap/>
            <w:vAlign w:val="center"/>
            <w:hideMark/>
          </w:tcPr>
          <w:p w14:paraId="5F2B188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42</w:t>
            </w:r>
          </w:p>
        </w:tc>
        <w:tc>
          <w:tcPr>
            <w:tcW w:w="1558" w:type="dxa"/>
            <w:shd w:val="clear" w:color="auto" w:fill="E7E6E6" w:themeFill="background2"/>
            <w:noWrap/>
            <w:vAlign w:val="center"/>
            <w:hideMark/>
          </w:tcPr>
          <w:p w14:paraId="135909F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47</w:t>
            </w:r>
          </w:p>
        </w:tc>
        <w:tc>
          <w:tcPr>
            <w:tcW w:w="1559" w:type="dxa"/>
            <w:shd w:val="clear" w:color="auto" w:fill="E7E6E6" w:themeFill="background2"/>
            <w:noWrap/>
            <w:vAlign w:val="center"/>
            <w:hideMark/>
          </w:tcPr>
          <w:p w14:paraId="59DF825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0,10%</w:t>
            </w:r>
          </w:p>
        </w:tc>
      </w:tr>
      <w:tr w:rsidR="00963EA5" w:rsidRPr="007D3D4F" w14:paraId="1B1569E0" w14:textId="77777777" w:rsidTr="00A558EE">
        <w:trPr>
          <w:jc w:val="center"/>
        </w:trPr>
        <w:tc>
          <w:tcPr>
            <w:tcW w:w="1558" w:type="dxa"/>
            <w:shd w:val="clear" w:color="auto" w:fill="E7E6E6" w:themeFill="background2"/>
            <w:noWrap/>
            <w:vAlign w:val="center"/>
            <w:hideMark/>
          </w:tcPr>
          <w:p w14:paraId="0D332146"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Carcaliu</w:t>
            </w:r>
          </w:p>
        </w:tc>
        <w:tc>
          <w:tcPr>
            <w:tcW w:w="1558" w:type="dxa"/>
            <w:shd w:val="clear" w:color="auto" w:fill="E7E6E6" w:themeFill="background2"/>
            <w:noWrap/>
            <w:vAlign w:val="center"/>
            <w:hideMark/>
          </w:tcPr>
          <w:p w14:paraId="7D90270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89</w:t>
            </w:r>
          </w:p>
        </w:tc>
        <w:tc>
          <w:tcPr>
            <w:tcW w:w="1559" w:type="dxa"/>
            <w:shd w:val="clear" w:color="auto" w:fill="E7E6E6" w:themeFill="background2"/>
            <w:noWrap/>
            <w:vAlign w:val="center"/>
            <w:hideMark/>
          </w:tcPr>
          <w:p w14:paraId="1E357AD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95</w:t>
            </w:r>
          </w:p>
        </w:tc>
        <w:tc>
          <w:tcPr>
            <w:tcW w:w="1558" w:type="dxa"/>
            <w:shd w:val="clear" w:color="auto" w:fill="E7E6E6" w:themeFill="background2"/>
            <w:noWrap/>
            <w:vAlign w:val="center"/>
            <w:hideMark/>
          </w:tcPr>
          <w:p w14:paraId="04B6D23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97</w:t>
            </w:r>
          </w:p>
        </w:tc>
        <w:tc>
          <w:tcPr>
            <w:tcW w:w="1558" w:type="dxa"/>
            <w:shd w:val="clear" w:color="auto" w:fill="E7E6E6" w:themeFill="background2"/>
            <w:noWrap/>
            <w:vAlign w:val="center"/>
            <w:hideMark/>
          </w:tcPr>
          <w:p w14:paraId="74AC4E3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97</w:t>
            </w:r>
          </w:p>
        </w:tc>
        <w:tc>
          <w:tcPr>
            <w:tcW w:w="1559" w:type="dxa"/>
            <w:shd w:val="clear" w:color="auto" w:fill="E7E6E6" w:themeFill="background2"/>
            <w:noWrap/>
            <w:vAlign w:val="center"/>
            <w:hideMark/>
          </w:tcPr>
          <w:p w14:paraId="11418EF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0,20%</w:t>
            </w:r>
          </w:p>
        </w:tc>
      </w:tr>
      <w:tr w:rsidR="00963EA5" w:rsidRPr="007D3D4F" w14:paraId="7450750E" w14:textId="77777777" w:rsidTr="00A558EE">
        <w:trPr>
          <w:jc w:val="center"/>
        </w:trPr>
        <w:tc>
          <w:tcPr>
            <w:tcW w:w="1558" w:type="dxa"/>
            <w:shd w:val="clear" w:color="auto" w:fill="E7E6E6" w:themeFill="background2"/>
            <w:noWrap/>
            <w:vAlign w:val="center"/>
            <w:hideMark/>
          </w:tcPr>
          <w:p w14:paraId="1F8B844D"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Casimcea</w:t>
            </w:r>
          </w:p>
        </w:tc>
        <w:tc>
          <w:tcPr>
            <w:tcW w:w="1558" w:type="dxa"/>
            <w:shd w:val="clear" w:color="auto" w:fill="E7E6E6" w:themeFill="background2"/>
            <w:noWrap/>
            <w:vAlign w:val="center"/>
            <w:hideMark/>
          </w:tcPr>
          <w:p w14:paraId="465F543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132</w:t>
            </w:r>
          </w:p>
        </w:tc>
        <w:tc>
          <w:tcPr>
            <w:tcW w:w="1559" w:type="dxa"/>
            <w:shd w:val="clear" w:color="auto" w:fill="E7E6E6" w:themeFill="background2"/>
            <w:noWrap/>
            <w:vAlign w:val="center"/>
            <w:hideMark/>
          </w:tcPr>
          <w:p w14:paraId="522E9E7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145</w:t>
            </w:r>
          </w:p>
        </w:tc>
        <w:tc>
          <w:tcPr>
            <w:tcW w:w="1558" w:type="dxa"/>
            <w:shd w:val="clear" w:color="auto" w:fill="E7E6E6" w:themeFill="background2"/>
            <w:noWrap/>
            <w:vAlign w:val="center"/>
            <w:hideMark/>
          </w:tcPr>
          <w:p w14:paraId="6181346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152</w:t>
            </w:r>
          </w:p>
        </w:tc>
        <w:tc>
          <w:tcPr>
            <w:tcW w:w="1558" w:type="dxa"/>
            <w:shd w:val="clear" w:color="auto" w:fill="E7E6E6" w:themeFill="background2"/>
            <w:noWrap/>
            <w:vAlign w:val="center"/>
            <w:hideMark/>
          </w:tcPr>
          <w:p w14:paraId="34C568E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139</w:t>
            </w:r>
          </w:p>
        </w:tc>
        <w:tc>
          <w:tcPr>
            <w:tcW w:w="1559" w:type="dxa"/>
            <w:shd w:val="clear" w:color="auto" w:fill="E7E6E6" w:themeFill="background2"/>
            <w:noWrap/>
            <w:vAlign w:val="center"/>
            <w:hideMark/>
          </w:tcPr>
          <w:p w14:paraId="14574DC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0,29%</w:t>
            </w:r>
          </w:p>
        </w:tc>
      </w:tr>
      <w:tr w:rsidR="00963EA5" w:rsidRPr="007D3D4F" w14:paraId="6ABFEFB6" w14:textId="77777777" w:rsidTr="00A558EE">
        <w:trPr>
          <w:jc w:val="center"/>
        </w:trPr>
        <w:tc>
          <w:tcPr>
            <w:tcW w:w="1558" w:type="dxa"/>
            <w:shd w:val="clear" w:color="auto" w:fill="E7E6E6" w:themeFill="background2"/>
            <w:noWrap/>
            <w:vAlign w:val="center"/>
            <w:hideMark/>
          </w:tcPr>
          <w:p w14:paraId="4DA79425"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Ceamurlia De Jos</w:t>
            </w:r>
          </w:p>
        </w:tc>
        <w:tc>
          <w:tcPr>
            <w:tcW w:w="1558" w:type="dxa"/>
            <w:shd w:val="clear" w:color="auto" w:fill="E7E6E6" w:themeFill="background2"/>
            <w:noWrap/>
            <w:vAlign w:val="center"/>
            <w:hideMark/>
          </w:tcPr>
          <w:p w14:paraId="30EB253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140</w:t>
            </w:r>
          </w:p>
        </w:tc>
        <w:tc>
          <w:tcPr>
            <w:tcW w:w="1559" w:type="dxa"/>
            <w:shd w:val="clear" w:color="auto" w:fill="E7E6E6" w:themeFill="background2"/>
            <w:noWrap/>
            <w:vAlign w:val="center"/>
            <w:hideMark/>
          </w:tcPr>
          <w:p w14:paraId="480047D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119</w:t>
            </w:r>
          </w:p>
        </w:tc>
        <w:tc>
          <w:tcPr>
            <w:tcW w:w="1558" w:type="dxa"/>
            <w:shd w:val="clear" w:color="auto" w:fill="E7E6E6" w:themeFill="background2"/>
            <w:noWrap/>
            <w:vAlign w:val="center"/>
            <w:hideMark/>
          </w:tcPr>
          <w:p w14:paraId="4DCFC84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130</w:t>
            </w:r>
          </w:p>
        </w:tc>
        <w:tc>
          <w:tcPr>
            <w:tcW w:w="1558" w:type="dxa"/>
            <w:shd w:val="clear" w:color="auto" w:fill="E7E6E6" w:themeFill="background2"/>
            <w:noWrap/>
            <w:vAlign w:val="center"/>
            <w:hideMark/>
          </w:tcPr>
          <w:p w14:paraId="37445F0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132</w:t>
            </w:r>
          </w:p>
        </w:tc>
        <w:tc>
          <w:tcPr>
            <w:tcW w:w="1559" w:type="dxa"/>
            <w:shd w:val="clear" w:color="auto" w:fill="E7E6E6" w:themeFill="background2"/>
            <w:noWrap/>
            <w:vAlign w:val="center"/>
            <w:hideMark/>
          </w:tcPr>
          <w:p w14:paraId="54FF8C8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0,28%</w:t>
            </w:r>
          </w:p>
        </w:tc>
      </w:tr>
      <w:tr w:rsidR="00963EA5" w:rsidRPr="007D3D4F" w14:paraId="5E2FFD6B" w14:textId="77777777" w:rsidTr="00A558EE">
        <w:trPr>
          <w:jc w:val="center"/>
        </w:trPr>
        <w:tc>
          <w:tcPr>
            <w:tcW w:w="1558" w:type="dxa"/>
            <w:shd w:val="clear" w:color="auto" w:fill="E7E6E6" w:themeFill="background2"/>
            <w:noWrap/>
            <w:vAlign w:val="center"/>
            <w:hideMark/>
          </w:tcPr>
          <w:p w14:paraId="605C07EF"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Ceatalchioi</w:t>
            </w:r>
          </w:p>
        </w:tc>
        <w:tc>
          <w:tcPr>
            <w:tcW w:w="1558" w:type="dxa"/>
            <w:shd w:val="clear" w:color="auto" w:fill="E7E6E6" w:themeFill="background2"/>
            <w:noWrap/>
            <w:vAlign w:val="center"/>
            <w:hideMark/>
          </w:tcPr>
          <w:p w14:paraId="45A94E7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43</w:t>
            </w:r>
          </w:p>
        </w:tc>
        <w:tc>
          <w:tcPr>
            <w:tcW w:w="1559" w:type="dxa"/>
            <w:shd w:val="clear" w:color="auto" w:fill="E7E6E6" w:themeFill="background2"/>
            <w:noWrap/>
            <w:vAlign w:val="center"/>
            <w:hideMark/>
          </w:tcPr>
          <w:p w14:paraId="0B3401A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31</w:t>
            </w:r>
          </w:p>
        </w:tc>
        <w:tc>
          <w:tcPr>
            <w:tcW w:w="1558" w:type="dxa"/>
            <w:shd w:val="clear" w:color="auto" w:fill="E7E6E6" w:themeFill="background2"/>
            <w:noWrap/>
            <w:vAlign w:val="center"/>
            <w:hideMark/>
          </w:tcPr>
          <w:p w14:paraId="652F1B2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32</w:t>
            </w:r>
          </w:p>
        </w:tc>
        <w:tc>
          <w:tcPr>
            <w:tcW w:w="1558" w:type="dxa"/>
            <w:shd w:val="clear" w:color="auto" w:fill="E7E6E6" w:themeFill="background2"/>
            <w:noWrap/>
            <w:vAlign w:val="center"/>
            <w:hideMark/>
          </w:tcPr>
          <w:p w14:paraId="5B31CB0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37</w:t>
            </w:r>
          </w:p>
        </w:tc>
        <w:tc>
          <w:tcPr>
            <w:tcW w:w="1559" w:type="dxa"/>
            <w:shd w:val="clear" w:color="auto" w:fill="E7E6E6" w:themeFill="background2"/>
            <w:noWrap/>
            <w:vAlign w:val="center"/>
            <w:hideMark/>
          </w:tcPr>
          <w:p w14:paraId="2046FBA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0,08%</w:t>
            </w:r>
          </w:p>
        </w:tc>
      </w:tr>
      <w:tr w:rsidR="00963EA5" w:rsidRPr="007D3D4F" w14:paraId="43665F99" w14:textId="77777777" w:rsidTr="00A558EE">
        <w:trPr>
          <w:jc w:val="center"/>
        </w:trPr>
        <w:tc>
          <w:tcPr>
            <w:tcW w:w="1558" w:type="dxa"/>
            <w:shd w:val="clear" w:color="auto" w:fill="E7E6E6" w:themeFill="background2"/>
            <w:noWrap/>
            <w:vAlign w:val="center"/>
            <w:hideMark/>
          </w:tcPr>
          <w:p w14:paraId="7219D8F8"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Cerna</w:t>
            </w:r>
          </w:p>
        </w:tc>
        <w:tc>
          <w:tcPr>
            <w:tcW w:w="1558" w:type="dxa"/>
            <w:shd w:val="clear" w:color="auto" w:fill="E7E6E6" w:themeFill="background2"/>
            <w:noWrap/>
            <w:vAlign w:val="center"/>
            <w:hideMark/>
          </w:tcPr>
          <w:p w14:paraId="64A59FE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229</w:t>
            </w:r>
          </w:p>
        </w:tc>
        <w:tc>
          <w:tcPr>
            <w:tcW w:w="1559" w:type="dxa"/>
            <w:shd w:val="clear" w:color="auto" w:fill="E7E6E6" w:themeFill="background2"/>
            <w:noWrap/>
            <w:vAlign w:val="center"/>
            <w:hideMark/>
          </w:tcPr>
          <w:p w14:paraId="40F4137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240</w:t>
            </w:r>
          </w:p>
        </w:tc>
        <w:tc>
          <w:tcPr>
            <w:tcW w:w="1558" w:type="dxa"/>
            <w:shd w:val="clear" w:color="auto" w:fill="E7E6E6" w:themeFill="background2"/>
            <w:noWrap/>
            <w:vAlign w:val="center"/>
            <w:hideMark/>
          </w:tcPr>
          <w:p w14:paraId="6E9CB9E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239</w:t>
            </w:r>
          </w:p>
        </w:tc>
        <w:tc>
          <w:tcPr>
            <w:tcW w:w="1558" w:type="dxa"/>
            <w:shd w:val="clear" w:color="auto" w:fill="E7E6E6" w:themeFill="background2"/>
            <w:noWrap/>
            <w:vAlign w:val="center"/>
            <w:hideMark/>
          </w:tcPr>
          <w:p w14:paraId="0D952A7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230</w:t>
            </w:r>
          </w:p>
        </w:tc>
        <w:tc>
          <w:tcPr>
            <w:tcW w:w="1559" w:type="dxa"/>
            <w:shd w:val="clear" w:color="auto" w:fill="E7E6E6" w:themeFill="background2"/>
            <w:noWrap/>
            <w:vAlign w:val="center"/>
            <w:hideMark/>
          </w:tcPr>
          <w:p w14:paraId="2E8BC73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0,48%</w:t>
            </w:r>
          </w:p>
        </w:tc>
      </w:tr>
      <w:tr w:rsidR="00963EA5" w:rsidRPr="007D3D4F" w14:paraId="69330AF0" w14:textId="77777777" w:rsidTr="00A558EE">
        <w:trPr>
          <w:jc w:val="center"/>
        </w:trPr>
        <w:tc>
          <w:tcPr>
            <w:tcW w:w="1558" w:type="dxa"/>
            <w:shd w:val="clear" w:color="auto" w:fill="E7E6E6" w:themeFill="background2"/>
            <w:noWrap/>
            <w:vAlign w:val="center"/>
            <w:hideMark/>
          </w:tcPr>
          <w:p w14:paraId="496E4986"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Chilia Veche</w:t>
            </w:r>
          </w:p>
        </w:tc>
        <w:tc>
          <w:tcPr>
            <w:tcW w:w="1558" w:type="dxa"/>
            <w:shd w:val="clear" w:color="auto" w:fill="E7E6E6" w:themeFill="background2"/>
            <w:noWrap/>
            <w:vAlign w:val="center"/>
            <w:hideMark/>
          </w:tcPr>
          <w:p w14:paraId="27076476"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84</w:t>
            </w:r>
          </w:p>
        </w:tc>
        <w:tc>
          <w:tcPr>
            <w:tcW w:w="1559" w:type="dxa"/>
            <w:shd w:val="clear" w:color="auto" w:fill="E7E6E6" w:themeFill="background2"/>
            <w:noWrap/>
            <w:vAlign w:val="center"/>
            <w:hideMark/>
          </w:tcPr>
          <w:p w14:paraId="61A5C0F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88</w:t>
            </w:r>
          </w:p>
        </w:tc>
        <w:tc>
          <w:tcPr>
            <w:tcW w:w="1558" w:type="dxa"/>
            <w:shd w:val="clear" w:color="auto" w:fill="E7E6E6" w:themeFill="background2"/>
            <w:noWrap/>
            <w:vAlign w:val="center"/>
            <w:hideMark/>
          </w:tcPr>
          <w:p w14:paraId="2EE94D4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72</w:t>
            </w:r>
          </w:p>
        </w:tc>
        <w:tc>
          <w:tcPr>
            <w:tcW w:w="1558" w:type="dxa"/>
            <w:shd w:val="clear" w:color="auto" w:fill="E7E6E6" w:themeFill="background2"/>
            <w:noWrap/>
            <w:vAlign w:val="center"/>
            <w:hideMark/>
          </w:tcPr>
          <w:p w14:paraId="47466C7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77</w:t>
            </w:r>
          </w:p>
        </w:tc>
        <w:tc>
          <w:tcPr>
            <w:tcW w:w="1559" w:type="dxa"/>
            <w:shd w:val="clear" w:color="auto" w:fill="E7E6E6" w:themeFill="background2"/>
            <w:noWrap/>
            <w:vAlign w:val="center"/>
            <w:hideMark/>
          </w:tcPr>
          <w:p w14:paraId="73BB081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0,16%</w:t>
            </w:r>
          </w:p>
        </w:tc>
      </w:tr>
      <w:tr w:rsidR="00963EA5" w:rsidRPr="007D3D4F" w14:paraId="6808E17A" w14:textId="77777777" w:rsidTr="00A558EE">
        <w:trPr>
          <w:jc w:val="center"/>
        </w:trPr>
        <w:tc>
          <w:tcPr>
            <w:tcW w:w="1558" w:type="dxa"/>
            <w:shd w:val="clear" w:color="auto" w:fill="E7E6E6" w:themeFill="background2"/>
            <w:noWrap/>
            <w:vAlign w:val="center"/>
            <w:hideMark/>
          </w:tcPr>
          <w:p w14:paraId="66378143"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Ciucurova</w:t>
            </w:r>
          </w:p>
        </w:tc>
        <w:tc>
          <w:tcPr>
            <w:tcW w:w="1558" w:type="dxa"/>
            <w:shd w:val="clear" w:color="auto" w:fill="E7E6E6" w:themeFill="background2"/>
            <w:noWrap/>
            <w:vAlign w:val="center"/>
            <w:hideMark/>
          </w:tcPr>
          <w:p w14:paraId="7A66CCA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160</w:t>
            </w:r>
          </w:p>
        </w:tc>
        <w:tc>
          <w:tcPr>
            <w:tcW w:w="1559" w:type="dxa"/>
            <w:shd w:val="clear" w:color="auto" w:fill="E7E6E6" w:themeFill="background2"/>
            <w:noWrap/>
            <w:vAlign w:val="center"/>
            <w:hideMark/>
          </w:tcPr>
          <w:p w14:paraId="54C59F9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156</w:t>
            </w:r>
          </w:p>
        </w:tc>
        <w:tc>
          <w:tcPr>
            <w:tcW w:w="1558" w:type="dxa"/>
            <w:shd w:val="clear" w:color="auto" w:fill="E7E6E6" w:themeFill="background2"/>
            <w:noWrap/>
            <w:vAlign w:val="center"/>
            <w:hideMark/>
          </w:tcPr>
          <w:p w14:paraId="3C88795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141</w:t>
            </w:r>
          </w:p>
        </w:tc>
        <w:tc>
          <w:tcPr>
            <w:tcW w:w="1558" w:type="dxa"/>
            <w:shd w:val="clear" w:color="auto" w:fill="E7E6E6" w:themeFill="background2"/>
            <w:noWrap/>
            <w:vAlign w:val="center"/>
            <w:hideMark/>
          </w:tcPr>
          <w:p w14:paraId="5AA3C06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132</w:t>
            </w:r>
          </w:p>
        </w:tc>
        <w:tc>
          <w:tcPr>
            <w:tcW w:w="1559" w:type="dxa"/>
            <w:shd w:val="clear" w:color="auto" w:fill="E7E6E6" w:themeFill="background2"/>
            <w:noWrap/>
            <w:vAlign w:val="center"/>
            <w:hideMark/>
          </w:tcPr>
          <w:p w14:paraId="5718A89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0,28%</w:t>
            </w:r>
          </w:p>
        </w:tc>
      </w:tr>
      <w:tr w:rsidR="00963EA5" w:rsidRPr="007D3D4F" w14:paraId="466D4FBC" w14:textId="77777777" w:rsidTr="00A558EE">
        <w:trPr>
          <w:jc w:val="center"/>
        </w:trPr>
        <w:tc>
          <w:tcPr>
            <w:tcW w:w="1558" w:type="dxa"/>
            <w:shd w:val="clear" w:color="auto" w:fill="E7E6E6" w:themeFill="background2"/>
            <w:noWrap/>
            <w:vAlign w:val="center"/>
            <w:hideMark/>
          </w:tcPr>
          <w:p w14:paraId="37BEF4BD"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Crișan</w:t>
            </w:r>
          </w:p>
        </w:tc>
        <w:tc>
          <w:tcPr>
            <w:tcW w:w="1558" w:type="dxa"/>
            <w:shd w:val="clear" w:color="auto" w:fill="E7E6E6" w:themeFill="background2"/>
            <w:noWrap/>
            <w:vAlign w:val="center"/>
            <w:hideMark/>
          </w:tcPr>
          <w:p w14:paraId="33BFD45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237</w:t>
            </w:r>
          </w:p>
        </w:tc>
        <w:tc>
          <w:tcPr>
            <w:tcW w:w="1559" w:type="dxa"/>
            <w:shd w:val="clear" w:color="auto" w:fill="E7E6E6" w:themeFill="background2"/>
            <w:noWrap/>
            <w:vAlign w:val="center"/>
            <w:hideMark/>
          </w:tcPr>
          <w:p w14:paraId="6141299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154</w:t>
            </w:r>
          </w:p>
        </w:tc>
        <w:tc>
          <w:tcPr>
            <w:tcW w:w="1558" w:type="dxa"/>
            <w:shd w:val="clear" w:color="auto" w:fill="E7E6E6" w:themeFill="background2"/>
            <w:noWrap/>
            <w:vAlign w:val="center"/>
            <w:hideMark/>
          </w:tcPr>
          <w:p w14:paraId="1BE4D9C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160</w:t>
            </w:r>
          </w:p>
        </w:tc>
        <w:tc>
          <w:tcPr>
            <w:tcW w:w="1558" w:type="dxa"/>
            <w:shd w:val="clear" w:color="auto" w:fill="E7E6E6" w:themeFill="background2"/>
            <w:noWrap/>
            <w:vAlign w:val="center"/>
            <w:hideMark/>
          </w:tcPr>
          <w:p w14:paraId="3584487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162</w:t>
            </w:r>
          </w:p>
        </w:tc>
        <w:tc>
          <w:tcPr>
            <w:tcW w:w="1559" w:type="dxa"/>
            <w:shd w:val="clear" w:color="auto" w:fill="E7E6E6" w:themeFill="background2"/>
            <w:noWrap/>
            <w:vAlign w:val="center"/>
            <w:hideMark/>
          </w:tcPr>
          <w:p w14:paraId="2EDBEF0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0,34%</w:t>
            </w:r>
          </w:p>
        </w:tc>
      </w:tr>
      <w:tr w:rsidR="00963EA5" w:rsidRPr="007D3D4F" w14:paraId="7A67D346" w14:textId="77777777" w:rsidTr="00A558EE">
        <w:trPr>
          <w:jc w:val="center"/>
        </w:trPr>
        <w:tc>
          <w:tcPr>
            <w:tcW w:w="1558" w:type="dxa"/>
            <w:shd w:val="clear" w:color="auto" w:fill="E7E6E6" w:themeFill="background2"/>
            <w:noWrap/>
            <w:vAlign w:val="center"/>
            <w:hideMark/>
          </w:tcPr>
          <w:p w14:paraId="6A98AC9F"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Dăeni</w:t>
            </w:r>
          </w:p>
        </w:tc>
        <w:tc>
          <w:tcPr>
            <w:tcW w:w="1558" w:type="dxa"/>
            <w:shd w:val="clear" w:color="auto" w:fill="E7E6E6" w:themeFill="background2"/>
            <w:noWrap/>
            <w:vAlign w:val="center"/>
            <w:hideMark/>
          </w:tcPr>
          <w:p w14:paraId="7E233AF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156</w:t>
            </w:r>
          </w:p>
        </w:tc>
        <w:tc>
          <w:tcPr>
            <w:tcW w:w="1559" w:type="dxa"/>
            <w:shd w:val="clear" w:color="auto" w:fill="E7E6E6" w:themeFill="background2"/>
            <w:noWrap/>
            <w:vAlign w:val="center"/>
            <w:hideMark/>
          </w:tcPr>
          <w:p w14:paraId="289AAC9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113</w:t>
            </w:r>
          </w:p>
        </w:tc>
        <w:tc>
          <w:tcPr>
            <w:tcW w:w="1558" w:type="dxa"/>
            <w:shd w:val="clear" w:color="auto" w:fill="E7E6E6" w:themeFill="background2"/>
            <w:noWrap/>
            <w:vAlign w:val="center"/>
            <w:hideMark/>
          </w:tcPr>
          <w:p w14:paraId="50DCDF9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101</w:t>
            </w:r>
          </w:p>
        </w:tc>
        <w:tc>
          <w:tcPr>
            <w:tcW w:w="1558" w:type="dxa"/>
            <w:shd w:val="clear" w:color="auto" w:fill="E7E6E6" w:themeFill="background2"/>
            <w:noWrap/>
            <w:vAlign w:val="center"/>
            <w:hideMark/>
          </w:tcPr>
          <w:p w14:paraId="4479CA6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104</w:t>
            </w:r>
          </w:p>
        </w:tc>
        <w:tc>
          <w:tcPr>
            <w:tcW w:w="1559" w:type="dxa"/>
            <w:shd w:val="clear" w:color="auto" w:fill="E7E6E6" w:themeFill="background2"/>
            <w:noWrap/>
            <w:vAlign w:val="center"/>
            <w:hideMark/>
          </w:tcPr>
          <w:p w14:paraId="0F563CD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0,22%</w:t>
            </w:r>
          </w:p>
        </w:tc>
      </w:tr>
      <w:tr w:rsidR="00963EA5" w:rsidRPr="007D3D4F" w14:paraId="44250127" w14:textId="77777777" w:rsidTr="00A558EE">
        <w:trPr>
          <w:jc w:val="center"/>
        </w:trPr>
        <w:tc>
          <w:tcPr>
            <w:tcW w:w="1558" w:type="dxa"/>
            <w:shd w:val="clear" w:color="auto" w:fill="E7E6E6" w:themeFill="background2"/>
            <w:noWrap/>
            <w:vAlign w:val="center"/>
            <w:hideMark/>
          </w:tcPr>
          <w:p w14:paraId="7C210ADA"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Dorobanțu</w:t>
            </w:r>
          </w:p>
        </w:tc>
        <w:tc>
          <w:tcPr>
            <w:tcW w:w="1558" w:type="dxa"/>
            <w:shd w:val="clear" w:color="auto" w:fill="E7E6E6" w:themeFill="background2"/>
            <w:noWrap/>
            <w:vAlign w:val="center"/>
            <w:hideMark/>
          </w:tcPr>
          <w:p w14:paraId="1AAA591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73</w:t>
            </w:r>
          </w:p>
        </w:tc>
        <w:tc>
          <w:tcPr>
            <w:tcW w:w="1559" w:type="dxa"/>
            <w:shd w:val="clear" w:color="auto" w:fill="E7E6E6" w:themeFill="background2"/>
            <w:noWrap/>
            <w:vAlign w:val="center"/>
            <w:hideMark/>
          </w:tcPr>
          <w:p w14:paraId="14287FA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100</w:t>
            </w:r>
          </w:p>
        </w:tc>
        <w:tc>
          <w:tcPr>
            <w:tcW w:w="1558" w:type="dxa"/>
            <w:shd w:val="clear" w:color="auto" w:fill="E7E6E6" w:themeFill="background2"/>
            <w:noWrap/>
            <w:vAlign w:val="center"/>
            <w:hideMark/>
          </w:tcPr>
          <w:p w14:paraId="70B506C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72</w:t>
            </w:r>
          </w:p>
        </w:tc>
        <w:tc>
          <w:tcPr>
            <w:tcW w:w="1558" w:type="dxa"/>
            <w:shd w:val="clear" w:color="auto" w:fill="E7E6E6" w:themeFill="background2"/>
            <w:noWrap/>
            <w:vAlign w:val="center"/>
            <w:hideMark/>
          </w:tcPr>
          <w:p w14:paraId="6BD1B81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74</w:t>
            </w:r>
          </w:p>
        </w:tc>
        <w:tc>
          <w:tcPr>
            <w:tcW w:w="1559" w:type="dxa"/>
            <w:shd w:val="clear" w:color="auto" w:fill="E7E6E6" w:themeFill="background2"/>
            <w:noWrap/>
            <w:vAlign w:val="center"/>
            <w:hideMark/>
          </w:tcPr>
          <w:p w14:paraId="679116C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0,15%</w:t>
            </w:r>
          </w:p>
        </w:tc>
      </w:tr>
      <w:tr w:rsidR="00963EA5" w:rsidRPr="007D3D4F" w14:paraId="43AFFA29" w14:textId="77777777" w:rsidTr="00A558EE">
        <w:trPr>
          <w:jc w:val="center"/>
        </w:trPr>
        <w:tc>
          <w:tcPr>
            <w:tcW w:w="1558" w:type="dxa"/>
            <w:shd w:val="clear" w:color="auto" w:fill="E7E6E6" w:themeFill="background2"/>
            <w:noWrap/>
            <w:vAlign w:val="center"/>
            <w:hideMark/>
          </w:tcPr>
          <w:p w14:paraId="5AAA1BF8"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Frecatei</w:t>
            </w:r>
          </w:p>
        </w:tc>
        <w:tc>
          <w:tcPr>
            <w:tcW w:w="1558" w:type="dxa"/>
            <w:shd w:val="clear" w:color="auto" w:fill="E7E6E6" w:themeFill="background2"/>
            <w:noWrap/>
            <w:vAlign w:val="center"/>
            <w:hideMark/>
          </w:tcPr>
          <w:p w14:paraId="4AFFDB06"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303</w:t>
            </w:r>
          </w:p>
        </w:tc>
        <w:tc>
          <w:tcPr>
            <w:tcW w:w="1559" w:type="dxa"/>
            <w:shd w:val="clear" w:color="auto" w:fill="E7E6E6" w:themeFill="background2"/>
            <w:noWrap/>
            <w:vAlign w:val="center"/>
            <w:hideMark/>
          </w:tcPr>
          <w:p w14:paraId="54825E8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315</w:t>
            </w:r>
          </w:p>
        </w:tc>
        <w:tc>
          <w:tcPr>
            <w:tcW w:w="1558" w:type="dxa"/>
            <w:shd w:val="clear" w:color="auto" w:fill="E7E6E6" w:themeFill="background2"/>
            <w:noWrap/>
            <w:vAlign w:val="center"/>
            <w:hideMark/>
          </w:tcPr>
          <w:p w14:paraId="287149B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300</w:t>
            </w:r>
          </w:p>
        </w:tc>
        <w:tc>
          <w:tcPr>
            <w:tcW w:w="1558" w:type="dxa"/>
            <w:shd w:val="clear" w:color="auto" w:fill="E7E6E6" w:themeFill="background2"/>
            <w:noWrap/>
            <w:vAlign w:val="center"/>
            <w:hideMark/>
          </w:tcPr>
          <w:p w14:paraId="1D25E82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298</w:t>
            </w:r>
          </w:p>
        </w:tc>
        <w:tc>
          <w:tcPr>
            <w:tcW w:w="1559" w:type="dxa"/>
            <w:shd w:val="clear" w:color="auto" w:fill="E7E6E6" w:themeFill="background2"/>
            <w:noWrap/>
            <w:vAlign w:val="center"/>
            <w:hideMark/>
          </w:tcPr>
          <w:p w14:paraId="524888A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0,62%</w:t>
            </w:r>
          </w:p>
        </w:tc>
      </w:tr>
      <w:tr w:rsidR="00963EA5" w:rsidRPr="007D3D4F" w14:paraId="4607B5EB" w14:textId="77777777" w:rsidTr="00A558EE">
        <w:trPr>
          <w:jc w:val="center"/>
        </w:trPr>
        <w:tc>
          <w:tcPr>
            <w:tcW w:w="1558" w:type="dxa"/>
            <w:shd w:val="clear" w:color="auto" w:fill="E7E6E6" w:themeFill="background2"/>
            <w:noWrap/>
            <w:vAlign w:val="center"/>
            <w:hideMark/>
          </w:tcPr>
          <w:p w14:paraId="511CE244"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Greci</w:t>
            </w:r>
          </w:p>
        </w:tc>
        <w:tc>
          <w:tcPr>
            <w:tcW w:w="1558" w:type="dxa"/>
            <w:shd w:val="clear" w:color="auto" w:fill="E7E6E6" w:themeFill="background2"/>
            <w:noWrap/>
            <w:vAlign w:val="center"/>
            <w:hideMark/>
          </w:tcPr>
          <w:p w14:paraId="5C212FB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734</w:t>
            </w:r>
          </w:p>
        </w:tc>
        <w:tc>
          <w:tcPr>
            <w:tcW w:w="1559" w:type="dxa"/>
            <w:shd w:val="clear" w:color="auto" w:fill="E7E6E6" w:themeFill="background2"/>
            <w:noWrap/>
            <w:vAlign w:val="center"/>
            <w:hideMark/>
          </w:tcPr>
          <w:p w14:paraId="003006E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595</w:t>
            </w:r>
          </w:p>
        </w:tc>
        <w:tc>
          <w:tcPr>
            <w:tcW w:w="1558" w:type="dxa"/>
            <w:shd w:val="clear" w:color="auto" w:fill="E7E6E6" w:themeFill="background2"/>
            <w:noWrap/>
            <w:vAlign w:val="center"/>
            <w:hideMark/>
          </w:tcPr>
          <w:p w14:paraId="4D857EB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526</w:t>
            </w:r>
          </w:p>
        </w:tc>
        <w:tc>
          <w:tcPr>
            <w:tcW w:w="1558" w:type="dxa"/>
            <w:shd w:val="clear" w:color="auto" w:fill="E7E6E6" w:themeFill="background2"/>
            <w:noWrap/>
            <w:vAlign w:val="center"/>
            <w:hideMark/>
          </w:tcPr>
          <w:p w14:paraId="155B388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578</w:t>
            </w:r>
          </w:p>
        </w:tc>
        <w:tc>
          <w:tcPr>
            <w:tcW w:w="1559" w:type="dxa"/>
            <w:shd w:val="clear" w:color="auto" w:fill="E7E6E6" w:themeFill="background2"/>
            <w:noWrap/>
            <w:vAlign w:val="center"/>
            <w:hideMark/>
          </w:tcPr>
          <w:p w14:paraId="6794798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1,21%</w:t>
            </w:r>
          </w:p>
        </w:tc>
      </w:tr>
      <w:tr w:rsidR="00963EA5" w:rsidRPr="007D3D4F" w14:paraId="1C2D6222" w14:textId="77777777" w:rsidTr="00A558EE">
        <w:trPr>
          <w:jc w:val="center"/>
        </w:trPr>
        <w:tc>
          <w:tcPr>
            <w:tcW w:w="1558" w:type="dxa"/>
            <w:shd w:val="clear" w:color="auto" w:fill="E7E6E6" w:themeFill="background2"/>
            <w:noWrap/>
            <w:vAlign w:val="center"/>
            <w:hideMark/>
          </w:tcPr>
          <w:p w14:paraId="30DACBD8"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Grindu</w:t>
            </w:r>
          </w:p>
        </w:tc>
        <w:tc>
          <w:tcPr>
            <w:tcW w:w="1558" w:type="dxa"/>
            <w:shd w:val="clear" w:color="auto" w:fill="E7E6E6" w:themeFill="background2"/>
            <w:noWrap/>
            <w:vAlign w:val="center"/>
            <w:hideMark/>
          </w:tcPr>
          <w:p w14:paraId="54CADE4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68</w:t>
            </w:r>
          </w:p>
        </w:tc>
        <w:tc>
          <w:tcPr>
            <w:tcW w:w="1559" w:type="dxa"/>
            <w:shd w:val="clear" w:color="auto" w:fill="E7E6E6" w:themeFill="background2"/>
            <w:noWrap/>
            <w:vAlign w:val="center"/>
            <w:hideMark/>
          </w:tcPr>
          <w:p w14:paraId="05BE4E9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42</w:t>
            </w:r>
          </w:p>
        </w:tc>
        <w:tc>
          <w:tcPr>
            <w:tcW w:w="1558" w:type="dxa"/>
            <w:shd w:val="clear" w:color="auto" w:fill="E7E6E6" w:themeFill="background2"/>
            <w:noWrap/>
            <w:vAlign w:val="center"/>
            <w:hideMark/>
          </w:tcPr>
          <w:p w14:paraId="70D8E56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26</w:t>
            </w:r>
          </w:p>
        </w:tc>
        <w:tc>
          <w:tcPr>
            <w:tcW w:w="1558" w:type="dxa"/>
            <w:shd w:val="clear" w:color="auto" w:fill="E7E6E6" w:themeFill="background2"/>
            <w:noWrap/>
            <w:vAlign w:val="center"/>
            <w:hideMark/>
          </w:tcPr>
          <w:p w14:paraId="4BE6246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25</w:t>
            </w:r>
          </w:p>
        </w:tc>
        <w:tc>
          <w:tcPr>
            <w:tcW w:w="1559" w:type="dxa"/>
            <w:shd w:val="clear" w:color="auto" w:fill="E7E6E6" w:themeFill="background2"/>
            <w:noWrap/>
            <w:vAlign w:val="center"/>
            <w:hideMark/>
          </w:tcPr>
          <w:p w14:paraId="5710021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0,05%</w:t>
            </w:r>
          </w:p>
        </w:tc>
      </w:tr>
      <w:tr w:rsidR="00963EA5" w:rsidRPr="007D3D4F" w14:paraId="6DACEE27" w14:textId="77777777" w:rsidTr="00A558EE">
        <w:trPr>
          <w:jc w:val="center"/>
        </w:trPr>
        <w:tc>
          <w:tcPr>
            <w:tcW w:w="1558" w:type="dxa"/>
            <w:shd w:val="clear" w:color="auto" w:fill="E7E6E6" w:themeFill="background2"/>
            <w:noWrap/>
            <w:vAlign w:val="center"/>
            <w:hideMark/>
          </w:tcPr>
          <w:p w14:paraId="141A7F28"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Hamcearca</w:t>
            </w:r>
          </w:p>
        </w:tc>
        <w:tc>
          <w:tcPr>
            <w:tcW w:w="1558" w:type="dxa"/>
            <w:shd w:val="clear" w:color="auto" w:fill="E7E6E6" w:themeFill="background2"/>
            <w:noWrap/>
            <w:vAlign w:val="center"/>
            <w:hideMark/>
          </w:tcPr>
          <w:p w14:paraId="578CDBF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67</w:t>
            </w:r>
          </w:p>
        </w:tc>
        <w:tc>
          <w:tcPr>
            <w:tcW w:w="1559" w:type="dxa"/>
            <w:shd w:val="clear" w:color="auto" w:fill="E7E6E6" w:themeFill="background2"/>
            <w:noWrap/>
            <w:vAlign w:val="center"/>
            <w:hideMark/>
          </w:tcPr>
          <w:p w14:paraId="51DFD35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67</w:t>
            </w:r>
          </w:p>
        </w:tc>
        <w:tc>
          <w:tcPr>
            <w:tcW w:w="1558" w:type="dxa"/>
            <w:shd w:val="clear" w:color="auto" w:fill="E7E6E6" w:themeFill="background2"/>
            <w:noWrap/>
            <w:vAlign w:val="center"/>
            <w:hideMark/>
          </w:tcPr>
          <w:p w14:paraId="12BCBD4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64</w:t>
            </w:r>
          </w:p>
        </w:tc>
        <w:tc>
          <w:tcPr>
            <w:tcW w:w="1558" w:type="dxa"/>
            <w:shd w:val="clear" w:color="auto" w:fill="E7E6E6" w:themeFill="background2"/>
            <w:noWrap/>
            <w:vAlign w:val="center"/>
            <w:hideMark/>
          </w:tcPr>
          <w:p w14:paraId="6DB6177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61</w:t>
            </w:r>
          </w:p>
        </w:tc>
        <w:tc>
          <w:tcPr>
            <w:tcW w:w="1559" w:type="dxa"/>
            <w:shd w:val="clear" w:color="auto" w:fill="E7E6E6" w:themeFill="background2"/>
            <w:noWrap/>
            <w:vAlign w:val="center"/>
            <w:hideMark/>
          </w:tcPr>
          <w:p w14:paraId="7DB040A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0,13%</w:t>
            </w:r>
          </w:p>
        </w:tc>
      </w:tr>
      <w:tr w:rsidR="00963EA5" w:rsidRPr="007D3D4F" w14:paraId="13810CCF" w14:textId="77777777" w:rsidTr="00A558EE">
        <w:trPr>
          <w:jc w:val="center"/>
        </w:trPr>
        <w:tc>
          <w:tcPr>
            <w:tcW w:w="1558" w:type="dxa"/>
            <w:shd w:val="clear" w:color="auto" w:fill="E7E6E6" w:themeFill="background2"/>
            <w:noWrap/>
            <w:vAlign w:val="center"/>
            <w:hideMark/>
          </w:tcPr>
          <w:p w14:paraId="1E3943E2"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Horia</w:t>
            </w:r>
          </w:p>
        </w:tc>
        <w:tc>
          <w:tcPr>
            <w:tcW w:w="1558" w:type="dxa"/>
            <w:shd w:val="clear" w:color="auto" w:fill="E7E6E6" w:themeFill="background2"/>
            <w:noWrap/>
            <w:vAlign w:val="center"/>
            <w:hideMark/>
          </w:tcPr>
          <w:p w14:paraId="15EDF65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129</w:t>
            </w:r>
          </w:p>
        </w:tc>
        <w:tc>
          <w:tcPr>
            <w:tcW w:w="1559" w:type="dxa"/>
            <w:shd w:val="clear" w:color="auto" w:fill="E7E6E6" w:themeFill="background2"/>
            <w:noWrap/>
            <w:vAlign w:val="center"/>
            <w:hideMark/>
          </w:tcPr>
          <w:p w14:paraId="65112FA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112</w:t>
            </w:r>
          </w:p>
        </w:tc>
        <w:tc>
          <w:tcPr>
            <w:tcW w:w="1558" w:type="dxa"/>
            <w:shd w:val="clear" w:color="auto" w:fill="E7E6E6" w:themeFill="background2"/>
            <w:noWrap/>
            <w:vAlign w:val="center"/>
            <w:hideMark/>
          </w:tcPr>
          <w:p w14:paraId="5F5D88F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101</w:t>
            </w:r>
          </w:p>
        </w:tc>
        <w:tc>
          <w:tcPr>
            <w:tcW w:w="1558" w:type="dxa"/>
            <w:shd w:val="clear" w:color="auto" w:fill="E7E6E6" w:themeFill="background2"/>
            <w:noWrap/>
            <w:vAlign w:val="center"/>
            <w:hideMark/>
          </w:tcPr>
          <w:p w14:paraId="225C0BC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91</w:t>
            </w:r>
          </w:p>
        </w:tc>
        <w:tc>
          <w:tcPr>
            <w:tcW w:w="1559" w:type="dxa"/>
            <w:shd w:val="clear" w:color="auto" w:fill="E7E6E6" w:themeFill="background2"/>
            <w:noWrap/>
            <w:vAlign w:val="center"/>
            <w:hideMark/>
          </w:tcPr>
          <w:p w14:paraId="403D876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0,19%</w:t>
            </w:r>
          </w:p>
        </w:tc>
      </w:tr>
      <w:tr w:rsidR="00963EA5" w:rsidRPr="007D3D4F" w14:paraId="2AB926DC" w14:textId="77777777" w:rsidTr="00A558EE">
        <w:trPr>
          <w:jc w:val="center"/>
        </w:trPr>
        <w:tc>
          <w:tcPr>
            <w:tcW w:w="1558" w:type="dxa"/>
            <w:shd w:val="clear" w:color="auto" w:fill="E7E6E6" w:themeFill="background2"/>
            <w:noWrap/>
            <w:vAlign w:val="center"/>
            <w:hideMark/>
          </w:tcPr>
          <w:p w14:paraId="58D51B1E"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I.C. Brătianu</w:t>
            </w:r>
          </w:p>
        </w:tc>
        <w:tc>
          <w:tcPr>
            <w:tcW w:w="1558" w:type="dxa"/>
            <w:shd w:val="clear" w:color="auto" w:fill="E7E6E6" w:themeFill="background2"/>
            <w:noWrap/>
            <w:vAlign w:val="center"/>
            <w:hideMark/>
          </w:tcPr>
          <w:p w14:paraId="027E376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51</w:t>
            </w:r>
          </w:p>
        </w:tc>
        <w:tc>
          <w:tcPr>
            <w:tcW w:w="1559" w:type="dxa"/>
            <w:shd w:val="clear" w:color="auto" w:fill="E7E6E6" w:themeFill="background2"/>
            <w:noWrap/>
            <w:vAlign w:val="center"/>
            <w:hideMark/>
          </w:tcPr>
          <w:p w14:paraId="3F20144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50</w:t>
            </w:r>
          </w:p>
        </w:tc>
        <w:tc>
          <w:tcPr>
            <w:tcW w:w="1558" w:type="dxa"/>
            <w:shd w:val="clear" w:color="auto" w:fill="E7E6E6" w:themeFill="background2"/>
            <w:noWrap/>
            <w:vAlign w:val="center"/>
            <w:hideMark/>
          </w:tcPr>
          <w:p w14:paraId="4CB7BC6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45</w:t>
            </w:r>
          </w:p>
        </w:tc>
        <w:tc>
          <w:tcPr>
            <w:tcW w:w="1558" w:type="dxa"/>
            <w:shd w:val="clear" w:color="auto" w:fill="E7E6E6" w:themeFill="background2"/>
            <w:noWrap/>
            <w:vAlign w:val="center"/>
            <w:hideMark/>
          </w:tcPr>
          <w:p w14:paraId="3FC43BA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51</w:t>
            </w:r>
          </w:p>
        </w:tc>
        <w:tc>
          <w:tcPr>
            <w:tcW w:w="1559" w:type="dxa"/>
            <w:shd w:val="clear" w:color="auto" w:fill="E7E6E6" w:themeFill="background2"/>
            <w:noWrap/>
            <w:vAlign w:val="center"/>
            <w:hideMark/>
          </w:tcPr>
          <w:p w14:paraId="6632176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0,11%</w:t>
            </w:r>
          </w:p>
        </w:tc>
      </w:tr>
      <w:tr w:rsidR="00963EA5" w:rsidRPr="007D3D4F" w14:paraId="188061CB" w14:textId="77777777" w:rsidTr="00A558EE">
        <w:trPr>
          <w:jc w:val="center"/>
        </w:trPr>
        <w:tc>
          <w:tcPr>
            <w:tcW w:w="1558" w:type="dxa"/>
            <w:shd w:val="clear" w:color="auto" w:fill="E7E6E6" w:themeFill="background2"/>
            <w:noWrap/>
            <w:vAlign w:val="center"/>
            <w:hideMark/>
          </w:tcPr>
          <w:p w14:paraId="1C14883C"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Izvoarele</w:t>
            </w:r>
          </w:p>
        </w:tc>
        <w:tc>
          <w:tcPr>
            <w:tcW w:w="1558" w:type="dxa"/>
            <w:shd w:val="clear" w:color="auto" w:fill="E7E6E6" w:themeFill="background2"/>
            <w:noWrap/>
            <w:vAlign w:val="center"/>
            <w:hideMark/>
          </w:tcPr>
          <w:p w14:paraId="5ABB361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110</w:t>
            </w:r>
          </w:p>
        </w:tc>
        <w:tc>
          <w:tcPr>
            <w:tcW w:w="1559" w:type="dxa"/>
            <w:shd w:val="clear" w:color="auto" w:fill="E7E6E6" w:themeFill="background2"/>
            <w:noWrap/>
            <w:vAlign w:val="center"/>
            <w:hideMark/>
          </w:tcPr>
          <w:p w14:paraId="5B18124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126</w:t>
            </w:r>
          </w:p>
        </w:tc>
        <w:tc>
          <w:tcPr>
            <w:tcW w:w="1558" w:type="dxa"/>
            <w:shd w:val="clear" w:color="auto" w:fill="E7E6E6" w:themeFill="background2"/>
            <w:noWrap/>
            <w:vAlign w:val="center"/>
            <w:hideMark/>
          </w:tcPr>
          <w:p w14:paraId="458352B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139</w:t>
            </w:r>
          </w:p>
        </w:tc>
        <w:tc>
          <w:tcPr>
            <w:tcW w:w="1558" w:type="dxa"/>
            <w:shd w:val="clear" w:color="auto" w:fill="E7E6E6" w:themeFill="background2"/>
            <w:noWrap/>
            <w:vAlign w:val="center"/>
            <w:hideMark/>
          </w:tcPr>
          <w:p w14:paraId="5A0A080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133</w:t>
            </w:r>
          </w:p>
        </w:tc>
        <w:tc>
          <w:tcPr>
            <w:tcW w:w="1559" w:type="dxa"/>
            <w:shd w:val="clear" w:color="auto" w:fill="E7E6E6" w:themeFill="background2"/>
            <w:noWrap/>
            <w:vAlign w:val="center"/>
            <w:hideMark/>
          </w:tcPr>
          <w:p w14:paraId="4DE2FFE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0,28%</w:t>
            </w:r>
          </w:p>
        </w:tc>
      </w:tr>
      <w:tr w:rsidR="00963EA5" w:rsidRPr="007D3D4F" w14:paraId="4DC0986C" w14:textId="77777777" w:rsidTr="00A558EE">
        <w:trPr>
          <w:jc w:val="center"/>
        </w:trPr>
        <w:tc>
          <w:tcPr>
            <w:tcW w:w="1558" w:type="dxa"/>
            <w:shd w:val="clear" w:color="auto" w:fill="E7E6E6" w:themeFill="background2"/>
            <w:noWrap/>
            <w:vAlign w:val="center"/>
            <w:hideMark/>
          </w:tcPr>
          <w:p w14:paraId="10345B8D"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Jijila</w:t>
            </w:r>
          </w:p>
        </w:tc>
        <w:tc>
          <w:tcPr>
            <w:tcW w:w="1558" w:type="dxa"/>
            <w:shd w:val="clear" w:color="auto" w:fill="E7E6E6" w:themeFill="background2"/>
            <w:noWrap/>
            <w:vAlign w:val="center"/>
            <w:hideMark/>
          </w:tcPr>
          <w:p w14:paraId="43A8E98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497</w:t>
            </w:r>
          </w:p>
        </w:tc>
        <w:tc>
          <w:tcPr>
            <w:tcW w:w="1559" w:type="dxa"/>
            <w:shd w:val="clear" w:color="auto" w:fill="E7E6E6" w:themeFill="background2"/>
            <w:noWrap/>
            <w:vAlign w:val="center"/>
            <w:hideMark/>
          </w:tcPr>
          <w:p w14:paraId="4214519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458</w:t>
            </w:r>
          </w:p>
        </w:tc>
        <w:tc>
          <w:tcPr>
            <w:tcW w:w="1558" w:type="dxa"/>
            <w:shd w:val="clear" w:color="auto" w:fill="E7E6E6" w:themeFill="background2"/>
            <w:noWrap/>
            <w:vAlign w:val="center"/>
            <w:hideMark/>
          </w:tcPr>
          <w:p w14:paraId="208BBEE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424</w:t>
            </w:r>
          </w:p>
        </w:tc>
        <w:tc>
          <w:tcPr>
            <w:tcW w:w="1558" w:type="dxa"/>
            <w:shd w:val="clear" w:color="auto" w:fill="E7E6E6" w:themeFill="background2"/>
            <w:noWrap/>
            <w:vAlign w:val="center"/>
            <w:hideMark/>
          </w:tcPr>
          <w:p w14:paraId="2C26F5E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414</w:t>
            </w:r>
          </w:p>
        </w:tc>
        <w:tc>
          <w:tcPr>
            <w:tcW w:w="1559" w:type="dxa"/>
            <w:shd w:val="clear" w:color="auto" w:fill="E7E6E6" w:themeFill="background2"/>
            <w:noWrap/>
            <w:vAlign w:val="center"/>
            <w:hideMark/>
          </w:tcPr>
          <w:p w14:paraId="6DB4D79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0,87%</w:t>
            </w:r>
          </w:p>
        </w:tc>
      </w:tr>
      <w:tr w:rsidR="00963EA5" w:rsidRPr="007D3D4F" w14:paraId="348A8139" w14:textId="77777777" w:rsidTr="00A558EE">
        <w:trPr>
          <w:jc w:val="center"/>
        </w:trPr>
        <w:tc>
          <w:tcPr>
            <w:tcW w:w="1558" w:type="dxa"/>
            <w:shd w:val="clear" w:color="auto" w:fill="E7E6E6" w:themeFill="background2"/>
            <w:noWrap/>
            <w:vAlign w:val="center"/>
            <w:hideMark/>
          </w:tcPr>
          <w:p w14:paraId="70A440C5"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Jurilovca</w:t>
            </w:r>
          </w:p>
        </w:tc>
        <w:tc>
          <w:tcPr>
            <w:tcW w:w="1558" w:type="dxa"/>
            <w:shd w:val="clear" w:color="auto" w:fill="E7E6E6" w:themeFill="background2"/>
            <w:noWrap/>
            <w:vAlign w:val="center"/>
            <w:hideMark/>
          </w:tcPr>
          <w:p w14:paraId="6855C81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358</w:t>
            </w:r>
          </w:p>
        </w:tc>
        <w:tc>
          <w:tcPr>
            <w:tcW w:w="1559" w:type="dxa"/>
            <w:shd w:val="clear" w:color="auto" w:fill="E7E6E6" w:themeFill="background2"/>
            <w:noWrap/>
            <w:vAlign w:val="center"/>
            <w:hideMark/>
          </w:tcPr>
          <w:p w14:paraId="3DEA046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441</w:t>
            </w:r>
          </w:p>
        </w:tc>
        <w:tc>
          <w:tcPr>
            <w:tcW w:w="1558" w:type="dxa"/>
            <w:shd w:val="clear" w:color="auto" w:fill="E7E6E6" w:themeFill="background2"/>
            <w:noWrap/>
            <w:vAlign w:val="center"/>
            <w:hideMark/>
          </w:tcPr>
          <w:p w14:paraId="55B6D7E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397</w:t>
            </w:r>
          </w:p>
        </w:tc>
        <w:tc>
          <w:tcPr>
            <w:tcW w:w="1558" w:type="dxa"/>
            <w:shd w:val="clear" w:color="auto" w:fill="E7E6E6" w:themeFill="background2"/>
            <w:noWrap/>
            <w:vAlign w:val="center"/>
            <w:hideMark/>
          </w:tcPr>
          <w:p w14:paraId="62858A8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368</w:t>
            </w:r>
          </w:p>
        </w:tc>
        <w:tc>
          <w:tcPr>
            <w:tcW w:w="1559" w:type="dxa"/>
            <w:shd w:val="clear" w:color="auto" w:fill="E7E6E6" w:themeFill="background2"/>
            <w:noWrap/>
            <w:vAlign w:val="center"/>
            <w:hideMark/>
          </w:tcPr>
          <w:p w14:paraId="381FBC6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0,77%</w:t>
            </w:r>
          </w:p>
        </w:tc>
      </w:tr>
      <w:tr w:rsidR="00963EA5" w:rsidRPr="007D3D4F" w14:paraId="41DE511C" w14:textId="77777777" w:rsidTr="00A558EE">
        <w:trPr>
          <w:jc w:val="center"/>
        </w:trPr>
        <w:tc>
          <w:tcPr>
            <w:tcW w:w="1558" w:type="dxa"/>
            <w:shd w:val="clear" w:color="auto" w:fill="E7E6E6" w:themeFill="background2"/>
            <w:noWrap/>
            <w:vAlign w:val="center"/>
            <w:hideMark/>
          </w:tcPr>
          <w:p w14:paraId="408C3316"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Luncavița</w:t>
            </w:r>
          </w:p>
        </w:tc>
        <w:tc>
          <w:tcPr>
            <w:tcW w:w="1558" w:type="dxa"/>
            <w:shd w:val="clear" w:color="auto" w:fill="E7E6E6" w:themeFill="background2"/>
            <w:noWrap/>
            <w:vAlign w:val="center"/>
            <w:hideMark/>
          </w:tcPr>
          <w:p w14:paraId="5D90A27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338</w:t>
            </w:r>
          </w:p>
        </w:tc>
        <w:tc>
          <w:tcPr>
            <w:tcW w:w="1559" w:type="dxa"/>
            <w:shd w:val="clear" w:color="auto" w:fill="E7E6E6" w:themeFill="background2"/>
            <w:noWrap/>
            <w:vAlign w:val="center"/>
            <w:hideMark/>
          </w:tcPr>
          <w:p w14:paraId="10B68AE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329</w:t>
            </w:r>
          </w:p>
        </w:tc>
        <w:tc>
          <w:tcPr>
            <w:tcW w:w="1558" w:type="dxa"/>
            <w:shd w:val="clear" w:color="auto" w:fill="E7E6E6" w:themeFill="background2"/>
            <w:noWrap/>
            <w:vAlign w:val="center"/>
            <w:hideMark/>
          </w:tcPr>
          <w:p w14:paraId="45FB6C3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297</w:t>
            </w:r>
          </w:p>
        </w:tc>
        <w:tc>
          <w:tcPr>
            <w:tcW w:w="1558" w:type="dxa"/>
            <w:shd w:val="clear" w:color="auto" w:fill="E7E6E6" w:themeFill="background2"/>
            <w:noWrap/>
            <w:vAlign w:val="center"/>
            <w:hideMark/>
          </w:tcPr>
          <w:p w14:paraId="5972C7C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267</w:t>
            </w:r>
          </w:p>
        </w:tc>
        <w:tc>
          <w:tcPr>
            <w:tcW w:w="1559" w:type="dxa"/>
            <w:shd w:val="clear" w:color="auto" w:fill="E7E6E6" w:themeFill="background2"/>
            <w:noWrap/>
            <w:vAlign w:val="center"/>
            <w:hideMark/>
          </w:tcPr>
          <w:p w14:paraId="236702A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0,56%</w:t>
            </w:r>
          </w:p>
        </w:tc>
      </w:tr>
      <w:tr w:rsidR="00963EA5" w:rsidRPr="007D3D4F" w14:paraId="43051DAC" w14:textId="77777777" w:rsidTr="00A558EE">
        <w:trPr>
          <w:jc w:val="center"/>
        </w:trPr>
        <w:tc>
          <w:tcPr>
            <w:tcW w:w="1558" w:type="dxa"/>
            <w:shd w:val="clear" w:color="auto" w:fill="E7E6E6" w:themeFill="background2"/>
            <w:noWrap/>
            <w:vAlign w:val="center"/>
            <w:hideMark/>
          </w:tcPr>
          <w:p w14:paraId="08DA63BC"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Mahmudia</w:t>
            </w:r>
          </w:p>
        </w:tc>
        <w:tc>
          <w:tcPr>
            <w:tcW w:w="1558" w:type="dxa"/>
            <w:shd w:val="clear" w:color="auto" w:fill="E7E6E6" w:themeFill="background2"/>
            <w:noWrap/>
            <w:vAlign w:val="center"/>
            <w:hideMark/>
          </w:tcPr>
          <w:p w14:paraId="3D30DE7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415</w:t>
            </w:r>
          </w:p>
        </w:tc>
        <w:tc>
          <w:tcPr>
            <w:tcW w:w="1559" w:type="dxa"/>
            <w:shd w:val="clear" w:color="auto" w:fill="E7E6E6" w:themeFill="background2"/>
            <w:noWrap/>
            <w:vAlign w:val="center"/>
            <w:hideMark/>
          </w:tcPr>
          <w:p w14:paraId="16D44E4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300</w:t>
            </w:r>
          </w:p>
        </w:tc>
        <w:tc>
          <w:tcPr>
            <w:tcW w:w="1558" w:type="dxa"/>
            <w:shd w:val="clear" w:color="auto" w:fill="E7E6E6" w:themeFill="background2"/>
            <w:noWrap/>
            <w:vAlign w:val="center"/>
            <w:hideMark/>
          </w:tcPr>
          <w:p w14:paraId="69CBF71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271</w:t>
            </w:r>
          </w:p>
        </w:tc>
        <w:tc>
          <w:tcPr>
            <w:tcW w:w="1558" w:type="dxa"/>
            <w:shd w:val="clear" w:color="auto" w:fill="E7E6E6" w:themeFill="background2"/>
            <w:noWrap/>
            <w:vAlign w:val="center"/>
            <w:hideMark/>
          </w:tcPr>
          <w:p w14:paraId="50D2625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243</w:t>
            </w:r>
          </w:p>
        </w:tc>
        <w:tc>
          <w:tcPr>
            <w:tcW w:w="1559" w:type="dxa"/>
            <w:shd w:val="clear" w:color="auto" w:fill="E7E6E6" w:themeFill="background2"/>
            <w:noWrap/>
            <w:vAlign w:val="center"/>
            <w:hideMark/>
          </w:tcPr>
          <w:p w14:paraId="3213F75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0,51%</w:t>
            </w:r>
          </w:p>
        </w:tc>
      </w:tr>
      <w:tr w:rsidR="00963EA5" w:rsidRPr="007D3D4F" w14:paraId="1F2F5230" w14:textId="77777777" w:rsidTr="00A558EE">
        <w:trPr>
          <w:jc w:val="center"/>
        </w:trPr>
        <w:tc>
          <w:tcPr>
            <w:tcW w:w="1558" w:type="dxa"/>
            <w:shd w:val="clear" w:color="auto" w:fill="E7E6E6" w:themeFill="background2"/>
            <w:noWrap/>
            <w:vAlign w:val="center"/>
            <w:hideMark/>
          </w:tcPr>
          <w:p w14:paraId="3650317E"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Maliuc</w:t>
            </w:r>
          </w:p>
        </w:tc>
        <w:tc>
          <w:tcPr>
            <w:tcW w:w="1558" w:type="dxa"/>
            <w:shd w:val="clear" w:color="auto" w:fill="E7E6E6" w:themeFill="background2"/>
            <w:noWrap/>
            <w:vAlign w:val="center"/>
            <w:hideMark/>
          </w:tcPr>
          <w:p w14:paraId="3D8778B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127</w:t>
            </w:r>
          </w:p>
        </w:tc>
        <w:tc>
          <w:tcPr>
            <w:tcW w:w="1559" w:type="dxa"/>
            <w:shd w:val="clear" w:color="auto" w:fill="E7E6E6" w:themeFill="background2"/>
            <w:noWrap/>
            <w:vAlign w:val="center"/>
            <w:hideMark/>
          </w:tcPr>
          <w:p w14:paraId="112F5C2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88</w:t>
            </w:r>
          </w:p>
        </w:tc>
        <w:tc>
          <w:tcPr>
            <w:tcW w:w="1558" w:type="dxa"/>
            <w:shd w:val="clear" w:color="auto" w:fill="E7E6E6" w:themeFill="background2"/>
            <w:noWrap/>
            <w:vAlign w:val="center"/>
            <w:hideMark/>
          </w:tcPr>
          <w:p w14:paraId="60EE085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80</w:t>
            </w:r>
          </w:p>
        </w:tc>
        <w:tc>
          <w:tcPr>
            <w:tcW w:w="1558" w:type="dxa"/>
            <w:shd w:val="clear" w:color="auto" w:fill="E7E6E6" w:themeFill="background2"/>
            <w:noWrap/>
            <w:vAlign w:val="center"/>
            <w:hideMark/>
          </w:tcPr>
          <w:p w14:paraId="26C223A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75</w:t>
            </w:r>
          </w:p>
        </w:tc>
        <w:tc>
          <w:tcPr>
            <w:tcW w:w="1559" w:type="dxa"/>
            <w:shd w:val="clear" w:color="auto" w:fill="E7E6E6" w:themeFill="background2"/>
            <w:noWrap/>
            <w:vAlign w:val="center"/>
            <w:hideMark/>
          </w:tcPr>
          <w:p w14:paraId="00DFA7A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0,16%</w:t>
            </w:r>
          </w:p>
        </w:tc>
      </w:tr>
      <w:tr w:rsidR="00963EA5" w:rsidRPr="007D3D4F" w14:paraId="46AD88B8" w14:textId="77777777" w:rsidTr="00A558EE">
        <w:trPr>
          <w:jc w:val="center"/>
        </w:trPr>
        <w:tc>
          <w:tcPr>
            <w:tcW w:w="1558" w:type="dxa"/>
            <w:shd w:val="clear" w:color="auto" w:fill="E7E6E6" w:themeFill="background2"/>
            <w:noWrap/>
            <w:vAlign w:val="center"/>
            <w:hideMark/>
          </w:tcPr>
          <w:p w14:paraId="7570CED5"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Mihai Bravu</w:t>
            </w:r>
          </w:p>
        </w:tc>
        <w:tc>
          <w:tcPr>
            <w:tcW w:w="1558" w:type="dxa"/>
            <w:shd w:val="clear" w:color="auto" w:fill="E7E6E6" w:themeFill="background2"/>
            <w:noWrap/>
            <w:vAlign w:val="center"/>
            <w:hideMark/>
          </w:tcPr>
          <w:p w14:paraId="03BBAD1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204</w:t>
            </w:r>
          </w:p>
        </w:tc>
        <w:tc>
          <w:tcPr>
            <w:tcW w:w="1559" w:type="dxa"/>
            <w:shd w:val="clear" w:color="auto" w:fill="E7E6E6" w:themeFill="background2"/>
            <w:noWrap/>
            <w:vAlign w:val="center"/>
            <w:hideMark/>
          </w:tcPr>
          <w:p w14:paraId="51EC163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179</w:t>
            </w:r>
          </w:p>
        </w:tc>
        <w:tc>
          <w:tcPr>
            <w:tcW w:w="1558" w:type="dxa"/>
            <w:shd w:val="clear" w:color="auto" w:fill="E7E6E6" w:themeFill="background2"/>
            <w:noWrap/>
            <w:vAlign w:val="center"/>
            <w:hideMark/>
          </w:tcPr>
          <w:p w14:paraId="691CDAB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189</w:t>
            </w:r>
          </w:p>
        </w:tc>
        <w:tc>
          <w:tcPr>
            <w:tcW w:w="1558" w:type="dxa"/>
            <w:shd w:val="clear" w:color="auto" w:fill="E7E6E6" w:themeFill="background2"/>
            <w:noWrap/>
            <w:vAlign w:val="center"/>
            <w:hideMark/>
          </w:tcPr>
          <w:p w14:paraId="12FEF10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171</w:t>
            </w:r>
          </w:p>
        </w:tc>
        <w:tc>
          <w:tcPr>
            <w:tcW w:w="1559" w:type="dxa"/>
            <w:shd w:val="clear" w:color="auto" w:fill="E7E6E6" w:themeFill="background2"/>
            <w:noWrap/>
            <w:vAlign w:val="center"/>
            <w:hideMark/>
          </w:tcPr>
          <w:p w14:paraId="59705D06"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0,36%</w:t>
            </w:r>
          </w:p>
        </w:tc>
      </w:tr>
      <w:tr w:rsidR="00963EA5" w:rsidRPr="007D3D4F" w14:paraId="56B64220" w14:textId="77777777" w:rsidTr="00A558EE">
        <w:trPr>
          <w:jc w:val="center"/>
        </w:trPr>
        <w:tc>
          <w:tcPr>
            <w:tcW w:w="1558" w:type="dxa"/>
            <w:shd w:val="clear" w:color="auto" w:fill="E7E6E6" w:themeFill="background2"/>
            <w:noWrap/>
            <w:vAlign w:val="center"/>
            <w:hideMark/>
          </w:tcPr>
          <w:p w14:paraId="0A62D702"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Mihail Kogălniceanu</w:t>
            </w:r>
          </w:p>
        </w:tc>
        <w:tc>
          <w:tcPr>
            <w:tcW w:w="1558" w:type="dxa"/>
            <w:shd w:val="clear" w:color="auto" w:fill="E7E6E6" w:themeFill="background2"/>
            <w:noWrap/>
            <w:vAlign w:val="center"/>
            <w:hideMark/>
          </w:tcPr>
          <w:p w14:paraId="0CDF2B3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327</w:t>
            </w:r>
          </w:p>
        </w:tc>
        <w:tc>
          <w:tcPr>
            <w:tcW w:w="1559" w:type="dxa"/>
            <w:shd w:val="clear" w:color="auto" w:fill="E7E6E6" w:themeFill="background2"/>
            <w:noWrap/>
            <w:vAlign w:val="center"/>
            <w:hideMark/>
          </w:tcPr>
          <w:p w14:paraId="688A8FE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407</w:t>
            </w:r>
          </w:p>
        </w:tc>
        <w:tc>
          <w:tcPr>
            <w:tcW w:w="1558" w:type="dxa"/>
            <w:shd w:val="clear" w:color="auto" w:fill="E7E6E6" w:themeFill="background2"/>
            <w:noWrap/>
            <w:vAlign w:val="center"/>
            <w:hideMark/>
          </w:tcPr>
          <w:p w14:paraId="26BED14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472</w:t>
            </w:r>
          </w:p>
        </w:tc>
        <w:tc>
          <w:tcPr>
            <w:tcW w:w="1558" w:type="dxa"/>
            <w:shd w:val="clear" w:color="auto" w:fill="E7E6E6" w:themeFill="background2"/>
            <w:noWrap/>
            <w:vAlign w:val="center"/>
            <w:hideMark/>
          </w:tcPr>
          <w:p w14:paraId="01706F0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510</w:t>
            </w:r>
          </w:p>
        </w:tc>
        <w:tc>
          <w:tcPr>
            <w:tcW w:w="1559" w:type="dxa"/>
            <w:shd w:val="clear" w:color="auto" w:fill="E7E6E6" w:themeFill="background2"/>
            <w:noWrap/>
            <w:vAlign w:val="center"/>
            <w:hideMark/>
          </w:tcPr>
          <w:p w14:paraId="515F791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1,07%</w:t>
            </w:r>
          </w:p>
        </w:tc>
      </w:tr>
      <w:tr w:rsidR="00963EA5" w:rsidRPr="007D3D4F" w14:paraId="7FE3A5F0" w14:textId="77777777" w:rsidTr="00A558EE">
        <w:trPr>
          <w:jc w:val="center"/>
        </w:trPr>
        <w:tc>
          <w:tcPr>
            <w:tcW w:w="1558" w:type="dxa"/>
            <w:shd w:val="clear" w:color="auto" w:fill="E7E6E6" w:themeFill="background2"/>
            <w:noWrap/>
            <w:vAlign w:val="center"/>
            <w:hideMark/>
          </w:tcPr>
          <w:p w14:paraId="29139CD8"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Murighiol</w:t>
            </w:r>
          </w:p>
        </w:tc>
        <w:tc>
          <w:tcPr>
            <w:tcW w:w="1558" w:type="dxa"/>
            <w:shd w:val="clear" w:color="auto" w:fill="E7E6E6" w:themeFill="background2"/>
            <w:noWrap/>
            <w:vAlign w:val="center"/>
            <w:hideMark/>
          </w:tcPr>
          <w:p w14:paraId="7074CE6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429</w:t>
            </w:r>
          </w:p>
        </w:tc>
        <w:tc>
          <w:tcPr>
            <w:tcW w:w="1559" w:type="dxa"/>
            <w:shd w:val="clear" w:color="auto" w:fill="E7E6E6" w:themeFill="background2"/>
            <w:noWrap/>
            <w:vAlign w:val="center"/>
            <w:hideMark/>
          </w:tcPr>
          <w:p w14:paraId="4C20222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501</w:t>
            </w:r>
          </w:p>
        </w:tc>
        <w:tc>
          <w:tcPr>
            <w:tcW w:w="1558" w:type="dxa"/>
            <w:shd w:val="clear" w:color="auto" w:fill="E7E6E6" w:themeFill="background2"/>
            <w:noWrap/>
            <w:vAlign w:val="center"/>
            <w:hideMark/>
          </w:tcPr>
          <w:p w14:paraId="07CA59F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482</w:t>
            </w:r>
          </w:p>
        </w:tc>
        <w:tc>
          <w:tcPr>
            <w:tcW w:w="1558" w:type="dxa"/>
            <w:shd w:val="clear" w:color="auto" w:fill="E7E6E6" w:themeFill="background2"/>
            <w:noWrap/>
            <w:vAlign w:val="center"/>
            <w:hideMark/>
          </w:tcPr>
          <w:p w14:paraId="78EAADA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478</w:t>
            </w:r>
          </w:p>
        </w:tc>
        <w:tc>
          <w:tcPr>
            <w:tcW w:w="1559" w:type="dxa"/>
            <w:shd w:val="clear" w:color="auto" w:fill="E7E6E6" w:themeFill="background2"/>
            <w:noWrap/>
            <w:vAlign w:val="center"/>
            <w:hideMark/>
          </w:tcPr>
          <w:p w14:paraId="5E15A83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1,00%</w:t>
            </w:r>
          </w:p>
        </w:tc>
      </w:tr>
      <w:tr w:rsidR="00963EA5" w:rsidRPr="007D3D4F" w14:paraId="50FEB3FD" w14:textId="77777777" w:rsidTr="00A558EE">
        <w:trPr>
          <w:jc w:val="center"/>
        </w:trPr>
        <w:tc>
          <w:tcPr>
            <w:tcW w:w="1558" w:type="dxa"/>
            <w:shd w:val="clear" w:color="auto" w:fill="E7E6E6" w:themeFill="background2"/>
            <w:noWrap/>
            <w:vAlign w:val="center"/>
            <w:hideMark/>
          </w:tcPr>
          <w:p w14:paraId="5B61E577"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lastRenderedPageBreak/>
              <w:t>Nalbant</w:t>
            </w:r>
          </w:p>
        </w:tc>
        <w:tc>
          <w:tcPr>
            <w:tcW w:w="1558" w:type="dxa"/>
            <w:shd w:val="clear" w:color="auto" w:fill="E7E6E6" w:themeFill="background2"/>
            <w:noWrap/>
            <w:vAlign w:val="center"/>
            <w:hideMark/>
          </w:tcPr>
          <w:p w14:paraId="55ACFB0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158</w:t>
            </w:r>
          </w:p>
        </w:tc>
        <w:tc>
          <w:tcPr>
            <w:tcW w:w="1559" w:type="dxa"/>
            <w:shd w:val="clear" w:color="auto" w:fill="E7E6E6" w:themeFill="background2"/>
            <w:noWrap/>
            <w:vAlign w:val="center"/>
            <w:hideMark/>
          </w:tcPr>
          <w:p w14:paraId="6827B5A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145</w:t>
            </w:r>
          </w:p>
        </w:tc>
        <w:tc>
          <w:tcPr>
            <w:tcW w:w="1558" w:type="dxa"/>
            <w:shd w:val="clear" w:color="auto" w:fill="E7E6E6" w:themeFill="background2"/>
            <w:noWrap/>
            <w:vAlign w:val="center"/>
            <w:hideMark/>
          </w:tcPr>
          <w:p w14:paraId="5670ADA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131</w:t>
            </w:r>
          </w:p>
        </w:tc>
        <w:tc>
          <w:tcPr>
            <w:tcW w:w="1558" w:type="dxa"/>
            <w:shd w:val="clear" w:color="auto" w:fill="E7E6E6" w:themeFill="background2"/>
            <w:noWrap/>
            <w:vAlign w:val="center"/>
            <w:hideMark/>
          </w:tcPr>
          <w:p w14:paraId="3BC274F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127</w:t>
            </w:r>
          </w:p>
        </w:tc>
        <w:tc>
          <w:tcPr>
            <w:tcW w:w="1559" w:type="dxa"/>
            <w:shd w:val="clear" w:color="auto" w:fill="E7E6E6" w:themeFill="background2"/>
            <w:noWrap/>
            <w:vAlign w:val="center"/>
            <w:hideMark/>
          </w:tcPr>
          <w:p w14:paraId="2E0D583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0,27%</w:t>
            </w:r>
          </w:p>
        </w:tc>
      </w:tr>
      <w:tr w:rsidR="00963EA5" w:rsidRPr="007D3D4F" w14:paraId="5BD24227" w14:textId="77777777" w:rsidTr="00A558EE">
        <w:trPr>
          <w:jc w:val="center"/>
        </w:trPr>
        <w:tc>
          <w:tcPr>
            <w:tcW w:w="1558" w:type="dxa"/>
            <w:shd w:val="clear" w:color="auto" w:fill="E7E6E6" w:themeFill="background2"/>
            <w:noWrap/>
            <w:vAlign w:val="center"/>
            <w:hideMark/>
          </w:tcPr>
          <w:p w14:paraId="564BC19B"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Niculițel</w:t>
            </w:r>
          </w:p>
        </w:tc>
        <w:tc>
          <w:tcPr>
            <w:tcW w:w="1558" w:type="dxa"/>
            <w:shd w:val="clear" w:color="auto" w:fill="E7E6E6" w:themeFill="background2"/>
            <w:noWrap/>
            <w:vAlign w:val="center"/>
            <w:hideMark/>
          </w:tcPr>
          <w:p w14:paraId="334F493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315</w:t>
            </w:r>
          </w:p>
        </w:tc>
        <w:tc>
          <w:tcPr>
            <w:tcW w:w="1559" w:type="dxa"/>
            <w:shd w:val="clear" w:color="auto" w:fill="E7E6E6" w:themeFill="background2"/>
            <w:noWrap/>
            <w:vAlign w:val="center"/>
            <w:hideMark/>
          </w:tcPr>
          <w:p w14:paraId="03B806F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311</w:t>
            </w:r>
          </w:p>
        </w:tc>
        <w:tc>
          <w:tcPr>
            <w:tcW w:w="1558" w:type="dxa"/>
            <w:shd w:val="clear" w:color="auto" w:fill="E7E6E6" w:themeFill="background2"/>
            <w:noWrap/>
            <w:vAlign w:val="center"/>
            <w:hideMark/>
          </w:tcPr>
          <w:p w14:paraId="45EFF89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342</w:t>
            </w:r>
          </w:p>
        </w:tc>
        <w:tc>
          <w:tcPr>
            <w:tcW w:w="1558" w:type="dxa"/>
            <w:shd w:val="clear" w:color="auto" w:fill="E7E6E6" w:themeFill="background2"/>
            <w:noWrap/>
            <w:vAlign w:val="center"/>
            <w:hideMark/>
          </w:tcPr>
          <w:p w14:paraId="2221726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345</w:t>
            </w:r>
          </w:p>
        </w:tc>
        <w:tc>
          <w:tcPr>
            <w:tcW w:w="1559" w:type="dxa"/>
            <w:shd w:val="clear" w:color="auto" w:fill="E7E6E6" w:themeFill="background2"/>
            <w:noWrap/>
            <w:vAlign w:val="center"/>
            <w:hideMark/>
          </w:tcPr>
          <w:p w14:paraId="782FC62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0,72%</w:t>
            </w:r>
          </w:p>
        </w:tc>
      </w:tr>
      <w:tr w:rsidR="00963EA5" w:rsidRPr="007D3D4F" w14:paraId="61196951" w14:textId="77777777" w:rsidTr="00A558EE">
        <w:trPr>
          <w:jc w:val="center"/>
        </w:trPr>
        <w:tc>
          <w:tcPr>
            <w:tcW w:w="1558" w:type="dxa"/>
            <w:shd w:val="clear" w:color="auto" w:fill="E7E6E6" w:themeFill="background2"/>
            <w:noWrap/>
            <w:vAlign w:val="center"/>
            <w:hideMark/>
          </w:tcPr>
          <w:p w14:paraId="2C40A69D"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Nufăru</w:t>
            </w:r>
          </w:p>
        </w:tc>
        <w:tc>
          <w:tcPr>
            <w:tcW w:w="1558" w:type="dxa"/>
            <w:shd w:val="clear" w:color="auto" w:fill="E7E6E6" w:themeFill="background2"/>
            <w:noWrap/>
            <w:vAlign w:val="center"/>
            <w:hideMark/>
          </w:tcPr>
          <w:p w14:paraId="4744A3B6"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226</w:t>
            </w:r>
          </w:p>
        </w:tc>
        <w:tc>
          <w:tcPr>
            <w:tcW w:w="1559" w:type="dxa"/>
            <w:shd w:val="clear" w:color="auto" w:fill="E7E6E6" w:themeFill="background2"/>
            <w:noWrap/>
            <w:vAlign w:val="center"/>
            <w:hideMark/>
          </w:tcPr>
          <w:p w14:paraId="2F494C5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243</w:t>
            </w:r>
          </w:p>
        </w:tc>
        <w:tc>
          <w:tcPr>
            <w:tcW w:w="1558" w:type="dxa"/>
            <w:shd w:val="clear" w:color="auto" w:fill="E7E6E6" w:themeFill="background2"/>
            <w:noWrap/>
            <w:vAlign w:val="center"/>
            <w:hideMark/>
          </w:tcPr>
          <w:p w14:paraId="2A01990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267</w:t>
            </w:r>
          </w:p>
        </w:tc>
        <w:tc>
          <w:tcPr>
            <w:tcW w:w="1558" w:type="dxa"/>
            <w:shd w:val="clear" w:color="auto" w:fill="E7E6E6" w:themeFill="background2"/>
            <w:noWrap/>
            <w:vAlign w:val="center"/>
            <w:hideMark/>
          </w:tcPr>
          <w:p w14:paraId="1A58F7C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294</w:t>
            </w:r>
          </w:p>
        </w:tc>
        <w:tc>
          <w:tcPr>
            <w:tcW w:w="1559" w:type="dxa"/>
            <w:shd w:val="clear" w:color="auto" w:fill="E7E6E6" w:themeFill="background2"/>
            <w:noWrap/>
            <w:vAlign w:val="center"/>
            <w:hideMark/>
          </w:tcPr>
          <w:p w14:paraId="6225D99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0,61%</w:t>
            </w:r>
          </w:p>
        </w:tc>
      </w:tr>
      <w:tr w:rsidR="00963EA5" w:rsidRPr="007D3D4F" w14:paraId="30D5F28C" w14:textId="77777777" w:rsidTr="00A558EE">
        <w:trPr>
          <w:jc w:val="center"/>
        </w:trPr>
        <w:tc>
          <w:tcPr>
            <w:tcW w:w="1558" w:type="dxa"/>
            <w:shd w:val="clear" w:color="auto" w:fill="E7E6E6" w:themeFill="background2"/>
            <w:noWrap/>
            <w:vAlign w:val="center"/>
            <w:hideMark/>
          </w:tcPr>
          <w:p w14:paraId="26EA451C"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Ostrov</w:t>
            </w:r>
          </w:p>
        </w:tc>
        <w:tc>
          <w:tcPr>
            <w:tcW w:w="1558" w:type="dxa"/>
            <w:shd w:val="clear" w:color="auto" w:fill="E7E6E6" w:themeFill="background2"/>
            <w:noWrap/>
            <w:vAlign w:val="center"/>
            <w:hideMark/>
          </w:tcPr>
          <w:p w14:paraId="046A003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82</w:t>
            </w:r>
          </w:p>
        </w:tc>
        <w:tc>
          <w:tcPr>
            <w:tcW w:w="1559" w:type="dxa"/>
            <w:shd w:val="clear" w:color="auto" w:fill="E7E6E6" w:themeFill="background2"/>
            <w:noWrap/>
            <w:vAlign w:val="center"/>
            <w:hideMark/>
          </w:tcPr>
          <w:p w14:paraId="7197FF6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114</w:t>
            </w:r>
          </w:p>
        </w:tc>
        <w:tc>
          <w:tcPr>
            <w:tcW w:w="1558" w:type="dxa"/>
            <w:shd w:val="clear" w:color="auto" w:fill="E7E6E6" w:themeFill="background2"/>
            <w:noWrap/>
            <w:vAlign w:val="center"/>
            <w:hideMark/>
          </w:tcPr>
          <w:p w14:paraId="6F2EB536"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116</w:t>
            </w:r>
          </w:p>
        </w:tc>
        <w:tc>
          <w:tcPr>
            <w:tcW w:w="1558" w:type="dxa"/>
            <w:shd w:val="clear" w:color="auto" w:fill="E7E6E6" w:themeFill="background2"/>
            <w:noWrap/>
            <w:vAlign w:val="center"/>
            <w:hideMark/>
          </w:tcPr>
          <w:p w14:paraId="6DEAD6D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111</w:t>
            </w:r>
          </w:p>
        </w:tc>
        <w:tc>
          <w:tcPr>
            <w:tcW w:w="1559" w:type="dxa"/>
            <w:shd w:val="clear" w:color="auto" w:fill="E7E6E6" w:themeFill="background2"/>
            <w:noWrap/>
            <w:vAlign w:val="center"/>
            <w:hideMark/>
          </w:tcPr>
          <w:p w14:paraId="6542056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0,23%</w:t>
            </w:r>
          </w:p>
        </w:tc>
      </w:tr>
      <w:tr w:rsidR="00963EA5" w:rsidRPr="007D3D4F" w14:paraId="286D1B78" w14:textId="77777777" w:rsidTr="00A558EE">
        <w:trPr>
          <w:jc w:val="center"/>
        </w:trPr>
        <w:tc>
          <w:tcPr>
            <w:tcW w:w="1558" w:type="dxa"/>
            <w:shd w:val="clear" w:color="auto" w:fill="E7E6E6" w:themeFill="background2"/>
            <w:noWrap/>
            <w:vAlign w:val="center"/>
            <w:hideMark/>
          </w:tcPr>
          <w:p w14:paraId="1AC6AC32"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Pardina</w:t>
            </w:r>
          </w:p>
        </w:tc>
        <w:tc>
          <w:tcPr>
            <w:tcW w:w="1558" w:type="dxa"/>
            <w:shd w:val="clear" w:color="auto" w:fill="E7E6E6" w:themeFill="background2"/>
            <w:noWrap/>
            <w:vAlign w:val="center"/>
            <w:hideMark/>
          </w:tcPr>
          <w:p w14:paraId="52C8AAA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39</w:t>
            </w:r>
          </w:p>
        </w:tc>
        <w:tc>
          <w:tcPr>
            <w:tcW w:w="1559" w:type="dxa"/>
            <w:shd w:val="clear" w:color="auto" w:fill="E7E6E6" w:themeFill="background2"/>
            <w:noWrap/>
            <w:vAlign w:val="center"/>
            <w:hideMark/>
          </w:tcPr>
          <w:p w14:paraId="7747436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40</w:t>
            </w:r>
          </w:p>
        </w:tc>
        <w:tc>
          <w:tcPr>
            <w:tcW w:w="1558" w:type="dxa"/>
            <w:shd w:val="clear" w:color="auto" w:fill="E7E6E6" w:themeFill="background2"/>
            <w:noWrap/>
            <w:vAlign w:val="center"/>
            <w:hideMark/>
          </w:tcPr>
          <w:p w14:paraId="03F26B0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37</w:t>
            </w:r>
          </w:p>
        </w:tc>
        <w:tc>
          <w:tcPr>
            <w:tcW w:w="1558" w:type="dxa"/>
            <w:shd w:val="clear" w:color="auto" w:fill="E7E6E6" w:themeFill="background2"/>
            <w:noWrap/>
            <w:vAlign w:val="center"/>
            <w:hideMark/>
          </w:tcPr>
          <w:p w14:paraId="060037C5"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26</w:t>
            </w:r>
          </w:p>
        </w:tc>
        <w:tc>
          <w:tcPr>
            <w:tcW w:w="1559" w:type="dxa"/>
            <w:shd w:val="clear" w:color="auto" w:fill="E7E6E6" w:themeFill="background2"/>
            <w:noWrap/>
            <w:vAlign w:val="center"/>
            <w:hideMark/>
          </w:tcPr>
          <w:p w14:paraId="516846B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0,05%</w:t>
            </w:r>
          </w:p>
        </w:tc>
      </w:tr>
      <w:tr w:rsidR="00963EA5" w:rsidRPr="007D3D4F" w14:paraId="35987293" w14:textId="77777777" w:rsidTr="00A558EE">
        <w:trPr>
          <w:jc w:val="center"/>
        </w:trPr>
        <w:tc>
          <w:tcPr>
            <w:tcW w:w="1558" w:type="dxa"/>
            <w:shd w:val="clear" w:color="auto" w:fill="E7E6E6" w:themeFill="background2"/>
            <w:noWrap/>
            <w:vAlign w:val="center"/>
            <w:hideMark/>
          </w:tcPr>
          <w:p w14:paraId="7CC38748"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Peceneaga</w:t>
            </w:r>
          </w:p>
        </w:tc>
        <w:tc>
          <w:tcPr>
            <w:tcW w:w="1558" w:type="dxa"/>
            <w:shd w:val="clear" w:color="auto" w:fill="E7E6E6" w:themeFill="background2"/>
            <w:noWrap/>
            <w:vAlign w:val="center"/>
            <w:hideMark/>
          </w:tcPr>
          <w:p w14:paraId="7429DA4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132</w:t>
            </w:r>
          </w:p>
        </w:tc>
        <w:tc>
          <w:tcPr>
            <w:tcW w:w="1559" w:type="dxa"/>
            <w:shd w:val="clear" w:color="auto" w:fill="E7E6E6" w:themeFill="background2"/>
            <w:noWrap/>
            <w:vAlign w:val="center"/>
            <w:hideMark/>
          </w:tcPr>
          <w:p w14:paraId="04A8B3A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129</w:t>
            </w:r>
          </w:p>
        </w:tc>
        <w:tc>
          <w:tcPr>
            <w:tcW w:w="1558" w:type="dxa"/>
            <w:shd w:val="clear" w:color="auto" w:fill="E7E6E6" w:themeFill="background2"/>
            <w:noWrap/>
            <w:vAlign w:val="center"/>
            <w:hideMark/>
          </w:tcPr>
          <w:p w14:paraId="57002AD6"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127</w:t>
            </w:r>
          </w:p>
        </w:tc>
        <w:tc>
          <w:tcPr>
            <w:tcW w:w="1558" w:type="dxa"/>
            <w:shd w:val="clear" w:color="auto" w:fill="E7E6E6" w:themeFill="background2"/>
            <w:noWrap/>
            <w:vAlign w:val="center"/>
            <w:hideMark/>
          </w:tcPr>
          <w:p w14:paraId="3C783D8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132</w:t>
            </w:r>
          </w:p>
        </w:tc>
        <w:tc>
          <w:tcPr>
            <w:tcW w:w="1559" w:type="dxa"/>
            <w:shd w:val="clear" w:color="auto" w:fill="E7E6E6" w:themeFill="background2"/>
            <w:noWrap/>
            <w:vAlign w:val="center"/>
            <w:hideMark/>
          </w:tcPr>
          <w:p w14:paraId="6BDDC34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0,28%</w:t>
            </w:r>
          </w:p>
        </w:tc>
      </w:tr>
      <w:tr w:rsidR="00963EA5" w:rsidRPr="007D3D4F" w14:paraId="2E0EB001" w14:textId="77777777" w:rsidTr="00A558EE">
        <w:trPr>
          <w:jc w:val="center"/>
        </w:trPr>
        <w:tc>
          <w:tcPr>
            <w:tcW w:w="1558" w:type="dxa"/>
            <w:shd w:val="clear" w:color="auto" w:fill="E7E6E6" w:themeFill="background2"/>
            <w:noWrap/>
            <w:vAlign w:val="center"/>
            <w:hideMark/>
          </w:tcPr>
          <w:p w14:paraId="347042DA"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Sarichioi</w:t>
            </w:r>
          </w:p>
        </w:tc>
        <w:tc>
          <w:tcPr>
            <w:tcW w:w="1558" w:type="dxa"/>
            <w:shd w:val="clear" w:color="auto" w:fill="E7E6E6" w:themeFill="background2"/>
            <w:noWrap/>
            <w:vAlign w:val="center"/>
            <w:hideMark/>
          </w:tcPr>
          <w:p w14:paraId="51C169A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623</w:t>
            </w:r>
          </w:p>
        </w:tc>
        <w:tc>
          <w:tcPr>
            <w:tcW w:w="1559" w:type="dxa"/>
            <w:shd w:val="clear" w:color="auto" w:fill="E7E6E6" w:themeFill="background2"/>
            <w:noWrap/>
            <w:vAlign w:val="center"/>
            <w:hideMark/>
          </w:tcPr>
          <w:p w14:paraId="040012C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541</w:t>
            </w:r>
          </w:p>
        </w:tc>
        <w:tc>
          <w:tcPr>
            <w:tcW w:w="1558" w:type="dxa"/>
            <w:shd w:val="clear" w:color="auto" w:fill="E7E6E6" w:themeFill="background2"/>
            <w:noWrap/>
            <w:vAlign w:val="center"/>
            <w:hideMark/>
          </w:tcPr>
          <w:p w14:paraId="11DE0D1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522</w:t>
            </w:r>
          </w:p>
        </w:tc>
        <w:tc>
          <w:tcPr>
            <w:tcW w:w="1558" w:type="dxa"/>
            <w:shd w:val="clear" w:color="auto" w:fill="E7E6E6" w:themeFill="background2"/>
            <w:noWrap/>
            <w:vAlign w:val="center"/>
            <w:hideMark/>
          </w:tcPr>
          <w:p w14:paraId="0EA974F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531</w:t>
            </w:r>
          </w:p>
        </w:tc>
        <w:tc>
          <w:tcPr>
            <w:tcW w:w="1559" w:type="dxa"/>
            <w:shd w:val="clear" w:color="auto" w:fill="E7E6E6" w:themeFill="background2"/>
            <w:noWrap/>
            <w:vAlign w:val="center"/>
            <w:hideMark/>
          </w:tcPr>
          <w:p w14:paraId="15F9DFE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1,11%</w:t>
            </w:r>
          </w:p>
        </w:tc>
      </w:tr>
      <w:tr w:rsidR="00963EA5" w:rsidRPr="007D3D4F" w14:paraId="6F654366" w14:textId="77777777" w:rsidTr="00A558EE">
        <w:trPr>
          <w:jc w:val="center"/>
        </w:trPr>
        <w:tc>
          <w:tcPr>
            <w:tcW w:w="1558" w:type="dxa"/>
            <w:shd w:val="clear" w:color="auto" w:fill="E7E6E6" w:themeFill="background2"/>
            <w:noWrap/>
            <w:vAlign w:val="center"/>
            <w:hideMark/>
          </w:tcPr>
          <w:p w14:paraId="0482D41C"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Sfântu Gheorghe</w:t>
            </w:r>
          </w:p>
        </w:tc>
        <w:tc>
          <w:tcPr>
            <w:tcW w:w="1558" w:type="dxa"/>
            <w:shd w:val="clear" w:color="auto" w:fill="E7E6E6" w:themeFill="background2"/>
            <w:noWrap/>
            <w:vAlign w:val="center"/>
            <w:hideMark/>
          </w:tcPr>
          <w:p w14:paraId="2A0FDD1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98</w:t>
            </w:r>
          </w:p>
        </w:tc>
        <w:tc>
          <w:tcPr>
            <w:tcW w:w="1559" w:type="dxa"/>
            <w:shd w:val="clear" w:color="auto" w:fill="E7E6E6" w:themeFill="background2"/>
            <w:noWrap/>
            <w:vAlign w:val="center"/>
            <w:hideMark/>
          </w:tcPr>
          <w:p w14:paraId="3DA06CB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100</w:t>
            </w:r>
          </w:p>
        </w:tc>
        <w:tc>
          <w:tcPr>
            <w:tcW w:w="1558" w:type="dxa"/>
            <w:shd w:val="clear" w:color="auto" w:fill="E7E6E6" w:themeFill="background2"/>
            <w:noWrap/>
            <w:vAlign w:val="center"/>
            <w:hideMark/>
          </w:tcPr>
          <w:p w14:paraId="4E77109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98</w:t>
            </w:r>
          </w:p>
        </w:tc>
        <w:tc>
          <w:tcPr>
            <w:tcW w:w="1558" w:type="dxa"/>
            <w:shd w:val="clear" w:color="auto" w:fill="E7E6E6" w:themeFill="background2"/>
            <w:noWrap/>
            <w:vAlign w:val="center"/>
            <w:hideMark/>
          </w:tcPr>
          <w:p w14:paraId="48C3D9C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79</w:t>
            </w:r>
          </w:p>
        </w:tc>
        <w:tc>
          <w:tcPr>
            <w:tcW w:w="1559" w:type="dxa"/>
            <w:shd w:val="clear" w:color="auto" w:fill="E7E6E6" w:themeFill="background2"/>
            <w:noWrap/>
            <w:vAlign w:val="center"/>
            <w:hideMark/>
          </w:tcPr>
          <w:p w14:paraId="1C86833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0,17%</w:t>
            </w:r>
          </w:p>
        </w:tc>
      </w:tr>
      <w:tr w:rsidR="00963EA5" w:rsidRPr="007D3D4F" w14:paraId="50F8100D" w14:textId="77777777" w:rsidTr="00A558EE">
        <w:trPr>
          <w:jc w:val="center"/>
        </w:trPr>
        <w:tc>
          <w:tcPr>
            <w:tcW w:w="1558" w:type="dxa"/>
            <w:shd w:val="clear" w:color="auto" w:fill="E7E6E6" w:themeFill="background2"/>
            <w:noWrap/>
            <w:vAlign w:val="center"/>
            <w:hideMark/>
          </w:tcPr>
          <w:p w14:paraId="1AD79F83"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Slava Cercheza</w:t>
            </w:r>
          </w:p>
        </w:tc>
        <w:tc>
          <w:tcPr>
            <w:tcW w:w="1558" w:type="dxa"/>
            <w:shd w:val="clear" w:color="auto" w:fill="E7E6E6" w:themeFill="background2"/>
            <w:noWrap/>
            <w:vAlign w:val="center"/>
            <w:hideMark/>
          </w:tcPr>
          <w:p w14:paraId="5D0F170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148</w:t>
            </w:r>
          </w:p>
        </w:tc>
        <w:tc>
          <w:tcPr>
            <w:tcW w:w="1559" w:type="dxa"/>
            <w:shd w:val="clear" w:color="auto" w:fill="E7E6E6" w:themeFill="background2"/>
            <w:noWrap/>
            <w:vAlign w:val="center"/>
            <w:hideMark/>
          </w:tcPr>
          <w:p w14:paraId="26F2D7A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108</w:t>
            </w:r>
          </w:p>
        </w:tc>
        <w:tc>
          <w:tcPr>
            <w:tcW w:w="1558" w:type="dxa"/>
            <w:shd w:val="clear" w:color="auto" w:fill="E7E6E6" w:themeFill="background2"/>
            <w:noWrap/>
            <w:vAlign w:val="center"/>
            <w:hideMark/>
          </w:tcPr>
          <w:p w14:paraId="4D4834C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101</w:t>
            </w:r>
          </w:p>
        </w:tc>
        <w:tc>
          <w:tcPr>
            <w:tcW w:w="1558" w:type="dxa"/>
            <w:shd w:val="clear" w:color="auto" w:fill="E7E6E6" w:themeFill="background2"/>
            <w:noWrap/>
            <w:vAlign w:val="center"/>
            <w:hideMark/>
          </w:tcPr>
          <w:p w14:paraId="661C991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102</w:t>
            </w:r>
          </w:p>
        </w:tc>
        <w:tc>
          <w:tcPr>
            <w:tcW w:w="1559" w:type="dxa"/>
            <w:shd w:val="clear" w:color="auto" w:fill="E7E6E6" w:themeFill="background2"/>
            <w:noWrap/>
            <w:vAlign w:val="center"/>
            <w:hideMark/>
          </w:tcPr>
          <w:p w14:paraId="722A0468"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0,21%</w:t>
            </w:r>
          </w:p>
        </w:tc>
      </w:tr>
      <w:tr w:rsidR="00963EA5" w:rsidRPr="007D3D4F" w14:paraId="235659B9" w14:textId="77777777" w:rsidTr="00A558EE">
        <w:trPr>
          <w:jc w:val="center"/>
        </w:trPr>
        <w:tc>
          <w:tcPr>
            <w:tcW w:w="1558" w:type="dxa"/>
            <w:shd w:val="clear" w:color="auto" w:fill="E7E6E6" w:themeFill="background2"/>
            <w:noWrap/>
            <w:vAlign w:val="center"/>
            <w:hideMark/>
          </w:tcPr>
          <w:p w14:paraId="578CAFBE"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Smârdan</w:t>
            </w:r>
          </w:p>
        </w:tc>
        <w:tc>
          <w:tcPr>
            <w:tcW w:w="1558" w:type="dxa"/>
            <w:shd w:val="clear" w:color="auto" w:fill="E7E6E6" w:themeFill="background2"/>
            <w:noWrap/>
            <w:vAlign w:val="center"/>
            <w:hideMark/>
          </w:tcPr>
          <w:p w14:paraId="4B3EF0E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204</w:t>
            </w:r>
          </w:p>
        </w:tc>
        <w:tc>
          <w:tcPr>
            <w:tcW w:w="1559" w:type="dxa"/>
            <w:shd w:val="clear" w:color="auto" w:fill="E7E6E6" w:themeFill="background2"/>
            <w:noWrap/>
            <w:vAlign w:val="center"/>
            <w:hideMark/>
          </w:tcPr>
          <w:p w14:paraId="48ABADF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219</w:t>
            </w:r>
          </w:p>
        </w:tc>
        <w:tc>
          <w:tcPr>
            <w:tcW w:w="1558" w:type="dxa"/>
            <w:shd w:val="clear" w:color="auto" w:fill="E7E6E6" w:themeFill="background2"/>
            <w:noWrap/>
            <w:vAlign w:val="center"/>
            <w:hideMark/>
          </w:tcPr>
          <w:p w14:paraId="7D3CFE5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217</w:t>
            </w:r>
          </w:p>
        </w:tc>
        <w:tc>
          <w:tcPr>
            <w:tcW w:w="1558" w:type="dxa"/>
            <w:shd w:val="clear" w:color="auto" w:fill="E7E6E6" w:themeFill="background2"/>
            <w:noWrap/>
            <w:vAlign w:val="center"/>
            <w:hideMark/>
          </w:tcPr>
          <w:p w14:paraId="27F56EB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195</w:t>
            </w:r>
          </w:p>
        </w:tc>
        <w:tc>
          <w:tcPr>
            <w:tcW w:w="1559" w:type="dxa"/>
            <w:shd w:val="clear" w:color="auto" w:fill="E7E6E6" w:themeFill="background2"/>
            <w:noWrap/>
            <w:vAlign w:val="center"/>
            <w:hideMark/>
          </w:tcPr>
          <w:p w14:paraId="0DA58E7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0,41%</w:t>
            </w:r>
          </w:p>
        </w:tc>
      </w:tr>
      <w:tr w:rsidR="00963EA5" w:rsidRPr="007D3D4F" w14:paraId="2214B66B" w14:textId="77777777" w:rsidTr="00A558EE">
        <w:trPr>
          <w:jc w:val="center"/>
        </w:trPr>
        <w:tc>
          <w:tcPr>
            <w:tcW w:w="1558" w:type="dxa"/>
            <w:shd w:val="clear" w:color="auto" w:fill="E7E6E6" w:themeFill="background2"/>
            <w:noWrap/>
            <w:vAlign w:val="center"/>
            <w:hideMark/>
          </w:tcPr>
          <w:p w14:paraId="42BCCB6C"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Somova</w:t>
            </w:r>
          </w:p>
        </w:tc>
        <w:tc>
          <w:tcPr>
            <w:tcW w:w="1558" w:type="dxa"/>
            <w:shd w:val="clear" w:color="auto" w:fill="E7E6E6" w:themeFill="background2"/>
            <w:noWrap/>
            <w:vAlign w:val="center"/>
            <w:hideMark/>
          </w:tcPr>
          <w:p w14:paraId="5FD4D76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542</w:t>
            </w:r>
          </w:p>
        </w:tc>
        <w:tc>
          <w:tcPr>
            <w:tcW w:w="1559" w:type="dxa"/>
            <w:shd w:val="clear" w:color="auto" w:fill="E7E6E6" w:themeFill="background2"/>
            <w:noWrap/>
            <w:vAlign w:val="center"/>
            <w:hideMark/>
          </w:tcPr>
          <w:p w14:paraId="0359981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552</w:t>
            </w:r>
          </w:p>
        </w:tc>
        <w:tc>
          <w:tcPr>
            <w:tcW w:w="1558" w:type="dxa"/>
            <w:shd w:val="clear" w:color="auto" w:fill="E7E6E6" w:themeFill="background2"/>
            <w:noWrap/>
            <w:vAlign w:val="center"/>
            <w:hideMark/>
          </w:tcPr>
          <w:p w14:paraId="1F2B766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643</w:t>
            </w:r>
          </w:p>
        </w:tc>
        <w:tc>
          <w:tcPr>
            <w:tcW w:w="1558" w:type="dxa"/>
            <w:shd w:val="clear" w:color="auto" w:fill="E7E6E6" w:themeFill="background2"/>
            <w:noWrap/>
            <w:vAlign w:val="center"/>
            <w:hideMark/>
          </w:tcPr>
          <w:p w14:paraId="6169358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578</w:t>
            </w:r>
          </w:p>
        </w:tc>
        <w:tc>
          <w:tcPr>
            <w:tcW w:w="1559" w:type="dxa"/>
            <w:shd w:val="clear" w:color="auto" w:fill="E7E6E6" w:themeFill="background2"/>
            <w:noWrap/>
            <w:vAlign w:val="center"/>
            <w:hideMark/>
          </w:tcPr>
          <w:p w14:paraId="1C37C1D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1,21%</w:t>
            </w:r>
          </w:p>
        </w:tc>
      </w:tr>
      <w:tr w:rsidR="00963EA5" w:rsidRPr="007D3D4F" w14:paraId="39C9FA3B" w14:textId="77777777" w:rsidTr="00A558EE">
        <w:trPr>
          <w:jc w:val="center"/>
        </w:trPr>
        <w:tc>
          <w:tcPr>
            <w:tcW w:w="1558" w:type="dxa"/>
            <w:shd w:val="clear" w:color="auto" w:fill="E7E6E6" w:themeFill="background2"/>
            <w:noWrap/>
            <w:vAlign w:val="center"/>
            <w:hideMark/>
          </w:tcPr>
          <w:p w14:paraId="0FA6E1C5"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Stejaru</w:t>
            </w:r>
          </w:p>
        </w:tc>
        <w:tc>
          <w:tcPr>
            <w:tcW w:w="1558" w:type="dxa"/>
            <w:shd w:val="clear" w:color="auto" w:fill="E7E6E6" w:themeFill="background2"/>
            <w:noWrap/>
            <w:vAlign w:val="center"/>
            <w:hideMark/>
          </w:tcPr>
          <w:p w14:paraId="102FED3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395</w:t>
            </w:r>
          </w:p>
        </w:tc>
        <w:tc>
          <w:tcPr>
            <w:tcW w:w="1559" w:type="dxa"/>
            <w:shd w:val="clear" w:color="auto" w:fill="E7E6E6" w:themeFill="background2"/>
            <w:noWrap/>
            <w:vAlign w:val="center"/>
            <w:hideMark/>
          </w:tcPr>
          <w:p w14:paraId="19ABA4EE"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359</w:t>
            </w:r>
          </w:p>
        </w:tc>
        <w:tc>
          <w:tcPr>
            <w:tcW w:w="1558" w:type="dxa"/>
            <w:shd w:val="clear" w:color="auto" w:fill="E7E6E6" w:themeFill="background2"/>
            <w:noWrap/>
            <w:vAlign w:val="center"/>
            <w:hideMark/>
          </w:tcPr>
          <w:p w14:paraId="68E30B6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333</w:t>
            </w:r>
          </w:p>
        </w:tc>
        <w:tc>
          <w:tcPr>
            <w:tcW w:w="1558" w:type="dxa"/>
            <w:shd w:val="clear" w:color="auto" w:fill="E7E6E6" w:themeFill="background2"/>
            <w:noWrap/>
            <w:vAlign w:val="center"/>
            <w:hideMark/>
          </w:tcPr>
          <w:p w14:paraId="6939A9E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354</w:t>
            </w:r>
          </w:p>
        </w:tc>
        <w:tc>
          <w:tcPr>
            <w:tcW w:w="1559" w:type="dxa"/>
            <w:shd w:val="clear" w:color="auto" w:fill="E7E6E6" w:themeFill="background2"/>
            <w:noWrap/>
            <w:vAlign w:val="center"/>
            <w:hideMark/>
          </w:tcPr>
          <w:p w14:paraId="6437552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0,74%</w:t>
            </w:r>
          </w:p>
        </w:tc>
      </w:tr>
      <w:tr w:rsidR="00963EA5" w:rsidRPr="007D3D4F" w14:paraId="14118C5D" w14:textId="77777777" w:rsidTr="00CE7CCC">
        <w:trPr>
          <w:jc w:val="center"/>
        </w:trPr>
        <w:tc>
          <w:tcPr>
            <w:tcW w:w="1558" w:type="dxa"/>
            <w:tcBorders>
              <w:bottom w:val="single" w:sz="18" w:space="0" w:color="FFFFFF" w:themeColor="background1"/>
            </w:tcBorders>
            <w:shd w:val="clear" w:color="auto" w:fill="E7E6E6" w:themeFill="background2"/>
            <w:noWrap/>
            <w:vAlign w:val="center"/>
            <w:hideMark/>
          </w:tcPr>
          <w:p w14:paraId="14916D19"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Topolog</w:t>
            </w:r>
          </w:p>
        </w:tc>
        <w:tc>
          <w:tcPr>
            <w:tcW w:w="1558" w:type="dxa"/>
            <w:tcBorders>
              <w:bottom w:val="single" w:sz="18" w:space="0" w:color="FFFFFF" w:themeColor="background1"/>
            </w:tcBorders>
            <w:shd w:val="clear" w:color="auto" w:fill="E7E6E6" w:themeFill="background2"/>
            <w:noWrap/>
            <w:vAlign w:val="center"/>
            <w:hideMark/>
          </w:tcPr>
          <w:p w14:paraId="2A130C6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352</w:t>
            </w:r>
          </w:p>
        </w:tc>
        <w:tc>
          <w:tcPr>
            <w:tcW w:w="1559" w:type="dxa"/>
            <w:tcBorders>
              <w:bottom w:val="single" w:sz="18" w:space="0" w:color="FFFFFF" w:themeColor="background1"/>
            </w:tcBorders>
            <w:shd w:val="clear" w:color="auto" w:fill="E7E6E6" w:themeFill="background2"/>
            <w:noWrap/>
            <w:vAlign w:val="center"/>
            <w:hideMark/>
          </w:tcPr>
          <w:p w14:paraId="37CEDD33"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352</w:t>
            </w:r>
          </w:p>
        </w:tc>
        <w:tc>
          <w:tcPr>
            <w:tcW w:w="1558" w:type="dxa"/>
            <w:shd w:val="clear" w:color="auto" w:fill="E7E6E6" w:themeFill="background2"/>
            <w:noWrap/>
            <w:vAlign w:val="center"/>
            <w:hideMark/>
          </w:tcPr>
          <w:p w14:paraId="1608BFF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317</w:t>
            </w:r>
          </w:p>
        </w:tc>
        <w:tc>
          <w:tcPr>
            <w:tcW w:w="1558" w:type="dxa"/>
            <w:shd w:val="clear" w:color="auto" w:fill="E7E6E6" w:themeFill="background2"/>
            <w:noWrap/>
            <w:vAlign w:val="center"/>
            <w:hideMark/>
          </w:tcPr>
          <w:p w14:paraId="68B89F9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338</w:t>
            </w:r>
          </w:p>
        </w:tc>
        <w:tc>
          <w:tcPr>
            <w:tcW w:w="1559" w:type="dxa"/>
            <w:shd w:val="clear" w:color="auto" w:fill="E7E6E6" w:themeFill="background2"/>
            <w:noWrap/>
            <w:vAlign w:val="center"/>
            <w:hideMark/>
          </w:tcPr>
          <w:p w14:paraId="0DD0888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0,71%</w:t>
            </w:r>
          </w:p>
        </w:tc>
      </w:tr>
      <w:tr w:rsidR="00963EA5" w:rsidRPr="007D3D4F" w14:paraId="186A8C24" w14:textId="77777777" w:rsidTr="00A558EE">
        <w:trPr>
          <w:jc w:val="center"/>
        </w:trPr>
        <w:tc>
          <w:tcPr>
            <w:tcW w:w="1558" w:type="dxa"/>
            <w:shd w:val="clear" w:color="auto" w:fill="E7E6E6" w:themeFill="background2"/>
            <w:noWrap/>
            <w:vAlign w:val="center"/>
            <w:hideMark/>
          </w:tcPr>
          <w:p w14:paraId="00429AEA"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Turcoaia</w:t>
            </w:r>
          </w:p>
        </w:tc>
        <w:tc>
          <w:tcPr>
            <w:tcW w:w="1558" w:type="dxa"/>
            <w:shd w:val="clear" w:color="auto" w:fill="E7E6E6" w:themeFill="background2"/>
            <w:noWrap/>
            <w:vAlign w:val="center"/>
            <w:hideMark/>
          </w:tcPr>
          <w:p w14:paraId="163DAF4B"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182</w:t>
            </w:r>
          </w:p>
        </w:tc>
        <w:tc>
          <w:tcPr>
            <w:tcW w:w="1559" w:type="dxa"/>
            <w:shd w:val="clear" w:color="auto" w:fill="E7E6E6" w:themeFill="background2"/>
            <w:noWrap/>
            <w:vAlign w:val="center"/>
            <w:hideMark/>
          </w:tcPr>
          <w:p w14:paraId="577A912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174</w:t>
            </w:r>
          </w:p>
        </w:tc>
        <w:tc>
          <w:tcPr>
            <w:tcW w:w="1558" w:type="dxa"/>
            <w:shd w:val="clear" w:color="auto" w:fill="E7E6E6" w:themeFill="background2"/>
            <w:noWrap/>
            <w:vAlign w:val="center"/>
            <w:hideMark/>
          </w:tcPr>
          <w:p w14:paraId="141EB91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169</w:t>
            </w:r>
          </w:p>
        </w:tc>
        <w:tc>
          <w:tcPr>
            <w:tcW w:w="1558" w:type="dxa"/>
            <w:shd w:val="clear" w:color="auto" w:fill="E7E6E6" w:themeFill="background2"/>
            <w:noWrap/>
            <w:vAlign w:val="center"/>
            <w:hideMark/>
          </w:tcPr>
          <w:p w14:paraId="79AFC7C6"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168</w:t>
            </w:r>
          </w:p>
        </w:tc>
        <w:tc>
          <w:tcPr>
            <w:tcW w:w="1559" w:type="dxa"/>
            <w:shd w:val="clear" w:color="auto" w:fill="E7E6E6" w:themeFill="background2"/>
            <w:noWrap/>
            <w:vAlign w:val="center"/>
            <w:hideMark/>
          </w:tcPr>
          <w:p w14:paraId="678FF30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0,35%</w:t>
            </w:r>
          </w:p>
        </w:tc>
      </w:tr>
      <w:tr w:rsidR="00963EA5" w:rsidRPr="007D3D4F" w14:paraId="54F681ED" w14:textId="77777777" w:rsidTr="00A558EE">
        <w:trPr>
          <w:jc w:val="center"/>
        </w:trPr>
        <w:tc>
          <w:tcPr>
            <w:tcW w:w="1558" w:type="dxa"/>
            <w:shd w:val="clear" w:color="auto" w:fill="E7E6E6" w:themeFill="background2"/>
            <w:noWrap/>
            <w:vAlign w:val="center"/>
            <w:hideMark/>
          </w:tcPr>
          <w:p w14:paraId="4A8EF095"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Văcăreni</w:t>
            </w:r>
          </w:p>
        </w:tc>
        <w:tc>
          <w:tcPr>
            <w:tcW w:w="1558" w:type="dxa"/>
            <w:shd w:val="clear" w:color="auto" w:fill="E7E6E6" w:themeFill="background2"/>
            <w:noWrap/>
            <w:vAlign w:val="center"/>
            <w:hideMark/>
          </w:tcPr>
          <w:p w14:paraId="68B0641C"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168</w:t>
            </w:r>
          </w:p>
        </w:tc>
        <w:tc>
          <w:tcPr>
            <w:tcW w:w="1559" w:type="dxa"/>
            <w:shd w:val="clear" w:color="auto" w:fill="E7E6E6" w:themeFill="background2"/>
            <w:noWrap/>
            <w:vAlign w:val="center"/>
            <w:hideMark/>
          </w:tcPr>
          <w:p w14:paraId="51FD7A29"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173</w:t>
            </w:r>
          </w:p>
        </w:tc>
        <w:tc>
          <w:tcPr>
            <w:tcW w:w="1558" w:type="dxa"/>
            <w:shd w:val="clear" w:color="auto" w:fill="E7E6E6" w:themeFill="background2"/>
            <w:noWrap/>
            <w:vAlign w:val="center"/>
            <w:hideMark/>
          </w:tcPr>
          <w:p w14:paraId="044457A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156</w:t>
            </w:r>
          </w:p>
        </w:tc>
        <w:tc>
          <w:tcPr>
            <w:tcW w:w="1558" w:type="dxa"/>
            <w:shd w:val="clear" w:color="auto" w:fill="E7E6E6" w:themeFill="background2"/>
            <w:noWrap/>
            <w:vAlign w:val="center"/>
            <w:hideMark/>
          </w:tcPr>
          <w:p w14:paraId="4CE2821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126</w:t>
            </w:r>
          </w:p>
        </w:tc>
        <w:tc>
          <w:tcPr>
            <w:tcW w:w="1559" w:type="dxa"/>
            <w:shd w:val="clear" w:color="auto" w:fill="E7E6E6" w:themeFill="background2"/>
            <w:noWrap/>
            <w:vAlign w:val="center"/>
            <w:hideMark/>
          </w:tcPr>
          <w:p w14:paraId="28A4CA6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0,26%</w:t>
            </w:r>
          </w:p>
        </w:tc>
      </w:tr>
      <w:tr w:rsidR="00963EA5" w:rsidRPr="007D3D4F" w14:paraId="5F5ED882" w14:textId="77777777" w:rsidTr="00A558EE">
        <w:trPr>
          <w:jc w:val="center"/>
        </w:trPr>
        <w:tc>
          <w:tcPr>
            <w:tcW w:w="1558" w:type="dxa"/>
            <w:shd w:val="clear" w:color="auto" w:fill="E7E6E6" w:themeFill="background2"/>
            <w:noWrap/>
            <w:vAlign w:val="center"/>
            <w:hideMark/>
          </w:tcPr>
          <w:p w14:paraId="0FE34222"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Valea Nucarilor</w:t>
            </w:r>
          </w:p>
        </w:tc>
        <w:tc>
          <w:tcPr>
            <w:tcW w:w="1558" w:type="dxa"/>
            <w:shd w:val="clear" w:color="auto" w:fill="E7E6E6" w:themeFill="background2"/>
            <w:noWrap/>
            <w:vAlign w:val="center"/>
            <w:hideMark/>
          </w:tcPr>
          <w:p w14:paraId="1C6CCE7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194</w:t>
            </w:r>
          </w:p>
        </w:tc>
        <w:tc>
          <w:tcPr>
            <w:tcW w:w="1559" w:type="dxa"/>
            <w:shd w:val="clear" w:color="auto" w:fill="E7E6E6" w:themeFill="background2"/>
            <w:noWrap/>
            <w:vAlign w:val="center"/>
            <w:hideMark/>
          </w:tcPr>
          <w:p w14:paraId="1538B8D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190</w:t>
            </w:r>
          </w:p>
        </w:tc>
        <w:tc>
          <w:tcPr>
            <w:tcW w:w="1558" w:type="dxa"/>
            <w:shd w:val="clear" w:color="auto" w:fill="E7E6E6" w:themeFill="background2"/>
            <w:noWrap/>
            <w:vAlign w:val="center"/>
            <w:hideMark/>
          </w:tcPr>
          <w:p w14:paraId="3C16F5C1"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177</w:t>
            </w:r>
          </w:p>
        </w:tc>
        <w:tc>
          <w:tcPr>
            <w:tcW w:w="1558" w:type="dxa"/>
            <w:shd w:val="clear" w:color="auto" w:fill="E7E6E6" w:themeFill="background2"/>
            <w:noWrap/>
            <w:vAlign w:val="center"/>
            <w:hideMark/>
          </w:tcPr>
          <w:p w14:paraId="57DEC00F"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175</w:t>
            </w:r>
          </w:p>
        </w:tc>
        <w:tc>
          <w:tcPr>
            <w:tcW w:w="1559" w:type="dxa"/>
            <w:shd w:val="clear" w:color="auto" w:fill="E7E6E6" w:themeFill="background2"/>
            <w:noWrap/>
            <w:vAlign w:val="center"/>
            <w:hideMark/>
          </w:tcPr>
          <w:p w14:paraId="177ADC37"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0,37%</w:t>
            </w:r>
          </w:p>
        </w:tc>
      </w:tr>
      <w:tr w:rsidR="00963EA5" w:rsidRPr="007D3D4F" w14:paraId="7ECB47F7" w14:textId="77777777" w:rsidTr="00A558EE">
        <w:trPr>
          <w:jc w:val="center"/>
        </w:trPr>
        <w:tc>
          <w:tcPr>
            <w:tcW w:w="1558" w:type="dxa"/>
            <w:shd w:val="clear" w:color="auto" w:fill="E7E6E6" w:themeFill="background2"/>
            <w:noWrap/>
            <w:vAlign w:val="center"/>
            <w:hideMark/>
          </w:tcPr>
          <w:p w14:paraId="54A4EBB6" w14:textId="77777777" w:rsidR="00184E36" w:rsidRPr="007D3D4F" w:rsidRDefault="00184E36"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Valea Teilor</w:t>
            </w:r>
          </w:p>
        </w:tc>
        <w:tc>
          <w:tcPr>
            <w:tcW w:w="1558" w:type="dxa"/>
            <w:shd w:val="clear" w:color="auto" w:fill="E7E6E6" w:themeFill="background2"/>
            <w:noWrap/>
            <w:vAlign w:val="center"/>
            <w:hideMark/>
          </w:tcPr>
          <w:p w14:paraId="55F381F4"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73</w:t>
            </w:r>
          </w:p>
        </w:tc>
        <w:tc>
          <w:tcPr>
            <w:tcW w:w="1559" w:type="dxa"/>
            <w:shd w:val="clear" w:color="auto" w:fill="E7E6E6" w:themeFill="background2"/>
            <w:noWrap/>
            <w:vAlign w:val="center"/>
            <w:hideMark/>
          </w:tcPr>
          <w:p w14:paraId="79CD4980"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72</w:t>
            </w:r>
          </w:p>
        </w:tc>
        <w:tc>
          <w:tcPr>
            <w:tcW w:w="1558" w:type="dxa"/>
            <w:shd w:val="clear" w:color="auto" w:fill="E7E6E6" w:themeFill="background2"/>
            <w:noWrap/>
            <w:vAlign w:val="center"/>
            <w:hideMark/>
          </w:tcPr>
          <w:p w14:paraId="5389A7DD"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67</w:t>
            </w:r>
          </w:p>
        </w:tc>
        <w:tc>
          <w:tcPr>
            <w:tcW w:w="1558" w:type="dxa"/>
            <w:shd w:val="clear" w:color="auto" w:fill="E7E6E6" w:themeFill="background2"/>
            <w:noWrap/>
            <w:vAlign w:val="center"/>
            <w:hideMark/>
          </w:tcPr>
          <w:p w14:paraId="62F9A692"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64</w:t>
            </w:r>
          </w:p>
        </w:tc>
        <w:tc>
          <w:tcPr>
            <w:tcW w:w="1559" w:type="dxa"/>
            <w:shd w:val="clear" w:color="auto" w:fill="E7E6E6" w:themeFill="background2"/>
            <w:noWrap/>
            <w:vAlign w:val="center"/>
            <w:hideMark/>
          </w:tcPr>
          <w:p w14:paraId="1E780E5A" w14:textId="77777777" w:rsidR="00184E36" w:rsidRPr="007D3D4F" w:rsidRDefault="00184E36"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0,13%</w:t>
            </w:r>
          </w:p>
        </w:tc>
      </w:tr>
    </w:tbl>
    <w:p w14:paraId="71DBA63C" w14:textId="77777777" w:rsidR="00204DBB" w:rsidRPr="007D3D4F" w:rsidRDefault="00204DBB" w:rsidP="004C072F">
      <w:pPr>
        <w:spacing w:before="120" w:after="120" w:line="240" w:lineRule="auto"/>
        <w:contextualSpacing/>
        <w:jc w:val="center"/>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b/>
          <w:bCs/>
          <w:color w:val="272727" w:themeColor="text1" w:themeTint="D8"/>
        </w:rPr>
        <w:t>Sursa:</w:t>
      </w:r>
      <w:r w:rsidRPr="007D3D4F">
        <w:rPr>
          <w:rFonts w:ascii="Times New Roman" w:eastAsiaTheme="majorEastAsia" w:hAnsi="Times New Roman" w:cs="Times New Roman"/>
          <w:color w:val="272727" w:themeColor="text1" w:themeTint="D8"/>
        </w:rPr>
        <w:t xml:space="preserve"> Institutul Național de Statistică</w:t>
      </w:r>
    </w:p>
    <w:p w14:paraId="4D1B5C33" w14:textId="77777777" w:rsidR="00BC049D" w:rsidRPr="007D3D4F" w:rsidRDefault="00BC049D" w:rsidP="004C072F">
      <w:pPr>
        <w:spacing w:before="120" w:after="120" w:line="240" w:lineRule="auto"/>
        <w:contextualSpacing/>
        <w:jc w:val="center"/>
        <w:rPr>
          <w:rFonts w:ascii="Times New Roman" w:eastAsiaTheme="majorEastAsia" w:hAnsi="Times New Roman" w:cs="Times New Roman"/>
          <w:color w:val="272727" w:themeColor="text1" w:themeTint="D8"/>
        </w:rPr>
        <w:sectPr w:rsidR="00BC049D" w:rsidRPr="007D3D4F" w:rsidSect="00333AE8">
          <w:headerReference w:type="even" r:id="rId16"/>
          <w:headerReference w:type="default" r:id="rId17"/>
          <w:footerReference w:type="default" r:id="rId18"/>
          <w:headerReference w:type="first" r:id="rId19"/>
          <w:pgSz w:w="12240" w:h="15840"/>
          <w:pgMar w:top="1440" w:right="1440" w:bottom="1440" w:left="1440" w:header="720" w:footer="720" w:gutter="0"/>
          <w:pgNumType w:start="1"/>
          <w:cols w:space="720"/>
          <w:docGrid w:linePitch="360"/>
        </w:sectPr>
      </w:pPr>
    </w:p>
    <w:p w14:paraId="39729285" w14:textId="77777777" w:rsidR="00BC049D" w:rsidRPr="007D3D4F" w:rsidRDefault="00BC049D" w:rsidP="004C072F">
      <w:pPr>
        <w:spacing w:before="120" w:after="120" w:line="240" w:lineRule="auto"/>
        <w:contextualSpacing/>
        <w:jc w:val="center"/>
        <w:rPr>
          <w:rFonts w:ascii="Times New Roman" w:eastAsiaTheme="majorEastAsia" w:hAnsi="Times New Roman" w:cs="Times New Roman"/>
          <w:color w:val="272727" w:themeColor="text1" w:themeTint="D8"/>
        </w:rPr>
      </w:pPr>
    </w:p>
    <w:p w14:paraId="05432C77" w14:textId="77777777" w:rsidR="00CE7CCC" w:rsidRPr="007D3D4F" w:rsidRDefault="00CE7CCC" w:rsidP="00D81598">
      <w:pPr>
        <w:pStyle w:val="Smn"/>
        <w:numPr>
          <w:ilvl w:val="0"/>
          <w:numId w:val="28"/>
        </w:numPr>
        <w:ind w:left="414" w:hanging="357"/>
        <w:contextualSpacing/>
        <w:rPr>
          <w:rFonts w:ascii="Times New Roman" w:hAnsi="Times New Roman" w:cs="Times New Roman"/>
          <w:sz w:val="22"/>
          <w:szCs w:val="22"/>
        </w:rPr>
      </w:pPr>
      <w:r w:rsidRPr="007D3D4F">
        <w:rPr>
          <w:rFonts w:ascii="Times New Roman" w:hAnsi="Times New Roman" w:cs="Times New Roman"/>
          <w:b/>
          <w:bCs/>
          <w:sz w:val="22"/>
          <w:szCs w:val="22"/>
        </w:rPr>
        <w:t>Prelucrări statistice –</w:t>
      </w:r>
      <w:r w:rsidRPr="007D3D4F">
        <w:rPr>
          <w:rFonts w:ascii="Times New Roman" w:hAnsi="Times New Roman" w:cs="Times New Roman"/>
          <w:sz w:val="22"/>
          <w:szCs w:val="22"/>
        </w:rPr>
        <w:t xml:space="preserve"> Capitolul 3, </w:t>
      </w:r>
      <w:r w:rsidRPr="007D3D4F">
        <w:rPr>
          <w:rFonts w:ascii="Times New Roman" w:hAnsi="Times New Roman" w:cs="Times New Roman"/>
          <w:i/>
          <w:iCs/>
          <w:sz w:val="22"/>
          <w:szCs w:val="22"/>
        </w:rPr>
        <w:t>subcapitolul 3.1. Structura teritorială, demografie, navetism</w:t>
      </w:r>
    </w:p>
    <w:p w14:paraId="48A37177" w14:textId="77777777" w:rsidR="006574CF" w:rsidRPr="007D3D4F" w:rsidRDefault="006574CF" w:rsidP="004C072F">
      <w:pPr>
        <w:pStyle w:val="Smn"/>
        <w:contextualSpacing/>
        <w:rPr>
          <w:rFonts w:ascii="Times New Roman" w:hAnsi="Times New Roman" w:cs="Times New Roman"/>
          <w:sz w:val="22"/>
          <w:szCs w:val="22"/>
        </w:rPr>
      </w:pPr>
    </w:p>
    <w:p w14:paraId="36AE7937" w14:textId="7862BD12" w:rsidR="00BC049D" w:rsidRPr="007D3D4F" w:rsidRDefault="00BC049D"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6</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Caracteristicile parcului auto regăsit la nivelul județului Tulcea</w:t>
      </w:r>
    </w:p>
    <w:tbl>
      <w:tblPr>
        <w:tblW w:w="5241"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823"/>
        <w:gridCol w:w="766"/>
        <w:gridCol w:w="666"/>
        <w:gridCol w:w="666"/>
        <w:gridCol w:w="666"/>
        <w:gridCol w:w="766"/>
        <w:gridCol w:w="766"/>
        <w:gridCol w:w="766"/>
        <w:gridCol w:w="905"/>
        <w:gridCol w:w="1027"/>
        <w:gridCol w:w="883"/>
        <w:gridCol w:w="1072"/>
        <w:gridCol w:w="666"/>
        <w:gridCol w:w="666"/>
        <w:gridCol w:w="666"/>
        <w:gridCol w:w="766"/>
      </w:tblGrid>
      <w:tr w:rsidR="007C2554" w:rsidRPr="007D3D4F" w14:paraId="188549A2" w14:textId="77777777" w:rsidTr="00BC049D">
        <w:trPr>
          <w:tblHeader/>
          <w:jc w:val="center"/>
        </w:trPr>
        <w:tc>
          <w:tcPr>
            <w:tcW w:w="824" w:type="pct"/>
            <w:vMerge w:val="restart"/>
            <w:shd w:val="clear" w:color="auto" w:fill="3B3838" w:themeFill="background2" w:themeFillShade="40"/>
            <w:vAlign w:val="center"/>
            <w:hideMark/>
          </w:tcPr>
          <w:p w14:paraId="7C6B2C32"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CATEGORIA</w:t>
            </w:r>
          </w:p>
        </w:tc>
        <w:tc>
          <w:tcPr>
            <w:tcW w:w="271" w:type="pct"/>
            <w:vMerge w:val="restart"/>
            <w:shd w:val="clear" w:color="auto" w:fill="3B3838" w:themeFill="background2" w:themeFillShade="40"/>
            <w:vAlign w:val="center"/>
            <w:hideMark/>
          </w:tcPr>
          <w:p w14:paraId="368B6BE8" w14:textId="55113BC4" w:rsidR="00FB3B94" w:rsidRPr="007D3D4F" w:rsidRDefault="00CE7C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Nr.</w:t>
            </w:r>
          </w:p>
        </w:tc>
        <w:tc>
          <w:tcPr>
            <w:tcW w:w="1534" w:type="pct"/>
            <w:gridSpan w:val="6"/>
            <w:shd w:val="clear" w:color="auto" w:fill="3B3838" w:themeFill="background2" w:themeFillShade="40"/>
            <w:vAlign w:val="center"/>
            <w:hideMark/>
          </w:tcPr>
          <w:p w14:paraId="1DB772EF"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Vechime (ani)</w:t>
            </w:r>
          </w:p>
        </w:tc>
        <w:tc>
          <w:tcPr>
            <w:tcW w:w="1380" w:type="pct"/>
            <w:gridSpan w:val="4"/>
            <w:shd w:val="clear" w:color="auto" w:fill="3B3838" w:themeFill="background2" w:themeFillShade="40"/>
            <w:vAlign w:val="center"/>
            <w:hideMark/>
          </w:tcPr>
          <w:p w14:paraId="21C0F186"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Carburant</w:t>
            </w:r>
          </w:p>
        </w:tc>
        <w:tc>
          <w:tcPr>
            <w:tcW w:w="991" w:type="pct"/>
            <w:gridSpan w:val="4"/>
            <w:shd w:val="clear" w:color="auto" w:fill="3B3838" w:themeFill="background2" w:themeFillShade="40"/>
            <w:vAlign w:val="center"/>
            <w:hideMark/>
          </w:tcPr>
          <w:p w14:paraId="01FE6C16"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Vechime (ani)</w:t>
            </w:r>
          </w:p>
        </w:tc>
      </w:tr>
      <w:tr w:rsidR="00BC049D" w:rsidRPr="007D3D4F" w14:paraId="13DEB1BB" w14:textId="77777777" w:rsidTr="00BC049D">
        <w:trPr>
          <w:tblHeader/>
          <w:jc w:val="center"/>
        </w:trPr>
        <w:tc>
          <w:tcPr>
            <w:tcW w:w="824" w:type="pct"/>
            <w:vMerge/>
            <w:shd w:val="clear" w:color="auto" w:fill="3B3838" w:themeFill="background2" w:themeFillShade="40"/>
            <w:vAlign w:val="center"/>
            <w:hideMark/>
          </w:tcPr>
          <w:p w14:paraId="4C6683D3"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p>
        </w:tc>
        <w:tc>
          <w:tcPr>
            <w:tcW w:w="271" w:type="pct"/>
            <w:vMerge/>
            <w:shd w:val="clear" w:color="auto" w:fill="3B3838" w:themeFill="background2" w:themeFillShade="40"/>
            <w:vAlign w:val="center"/>
            <w:hideMark/>
          </w:tcPr>
          <w:p w14:paraId="13DC1A6F"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p>
        </w:tc>
        <w:tc>
          <w:tcPr>
            <w:tcW w:w="239" w:type="pct"/>
            <w:vMerge w:val="restart"/>
            <w:shd w:val="clear" w:color="auto" w:fill="3B3838" w:themeFill="background2" w:themeFillShade="40"/>
            <w:vAlign w:val="center"/>
            <w:hideMark/>
          </w:tcPr>
          <w:p w14:paraId="7DEED38F"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0--2</w:t>
            </w:r>
          </w:p>
        </w:tc>
        <w:tc>
          <w:tcPr>
            <w:tcW w:w="239" w:type="pct"/>
            <w:vMerge w:val="restart"/>
            <w:shd w:val="clear" w:color="auto" w:fill="3B3838" w:themeFill="background2" w:themeFillShade="40"/>
            <w:vAlign w:val="center"/>
            <w:hideMark/>
          </w:tcPr>
          <w:p w14:paraId="4E3720D7"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3--5</w:t>
            </w:r>
          </w:p>
        </w:tc>
        <w:tc>
          <w:tcPr>
            <w:tcW w:w="240" w:type="pct"/>
            <w:vMerge w:val="restart"/>
            <w:shd w:val="clear" w:color="auto" w:fill="3B3838" w:themeFill="background2" w:themeFillShade="40"/>
            <w:vAlign w:val="center"/>
            <w:hideMark/>
          </w:tcPr>
          <w:p w14:paraId="33F3B6BE"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6--10</w:t>
            </w:r>
          </w:p>
        </w:tc>
        <w:tc>
          <w:tcPr>
            <w:tcW w:w="272" w:type="pct"/>
            <w:vMerge w:val="restart"/>
            <w:shd w:val="clear" w:color="auto" w:fill="3B3838" w:themeFill="background2" w:themeFillShade="40"/>
            <w:vAlign w:val="center"/>
            <w:hideMark/>
          </w:tcPr>
          <w:p w14:paraId="27B65A50"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11--15</w:t>
            </w:r>
          </w:p>
        </w:tc>
        <w:tc>
          <w:tcPr>
            <w:tcW w:w="272" w:type="pct"/>
            <w:vMerge w:val="restart"/>
            <w:shd w:val="clear" w:color="auto" w:fill="3B3838" w:themeFill="background2" w:themeFillShade="40"/>
            <w:vAlign w:val="center"/>
            <w:hideMark/>
          </w:tcPr>
          <w:p w14:paraId="19B366E3"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16--20</w:t>
            </w:r>
          </w:p>
        </w:tc>
        <w:tc>
          <w:tcPr>
            <w:tcW w:w="272" w:type="pct"/>
            <w:vMerge w:val="restart"/>
            <w:shd w:val="clear" w:color="auto" w:fill="3B3838" w:themeFill="background2" w:themeFillShade="40"/>
            <w:vAlign w:val="center"/>
            <w:hideMark/>
          </w:tcPr>
          <w:p w14:paraId="127ED24F"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&gt;20</w:t>
            </w:r>
          </w:p>
        </w:tc>
        <w:tc>
          <w:tcPr>
            <w:tcW w:w="325" w:type="pct"/>
            <w:vMerge w:val="restart"/>
            <w:shd w:val="clear" w:color="auto" w:fill="3B3838" w:themeFill="background2" w:themeFillShade="40"/>
            <w:vAlign w:val="center"/>
            <w:hideMark/>
          </w:tcPr>
          <w:p w14:paraId="2656CAE3" w14:textId="49C20655"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Benzin</w:t>
            </w:r>
            <w:r w:rsidR="00CE7CCC" w:rsidRPr="007D3D4F">
              <w:rPr>
                <w:rFonts w:ascii="Times New Roman" w:eastAsia="Times New Roman" w:hAnsi="Times New Roman" w:cs="Times New Roman"/>
                <w:b/>
                <w:bCs/>
                <w:color w:val="FFFFFF" w:themeColor="background1"/>
                <w:kern w:val="0"/>
                <w:sz w:val="20"/>
                <w:szCs w:val="20"/>
                <w:lang w:eastAsia="en-GB"/>
                <w14:ligatures w14:val="none"/>
              </w:rPr>
              <w:t>ă</w:t>
            </w:r>
          </w:p>
        </w:tc>
        <w:tc>
          <w:tcPr>
            <w:tcW w:w="351" w:type="pct"/>
            <w:vMerge w:val="restart"/>
            <w:shd w:val="clear" w:color="auto" w:fill="3B3838" w:themeFill="background2" w:themeFillShade="40"/>
            <w:vAlign w:val="center"/>
            <w:hideMark/>
          </w:tcPr>
          <w:p w14:paraId="6AB2240E" w14:textId="58DE16BF"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Motorin</w:t>
            </w:r>
            <w:r w:rsidR="00CE7CCC" w:rsidRPr="007D3D4F">
              <w:rPr>
                <w:rFonts w:ascii="Times New Roman" w:eastAsia="Times New Roman" w:hAnsi="Times New Roman" w:cs="Times New Roman"/>
                <w:b/>
                <w:bCs/>
                <w:color w:val="FFFFFF" w:themeColor="background1"/>
                <w:kern w:val="0"/>
                <w:sz w:val="20"/>
                <w:szCs w:val="20"/>
                <w:lang w:eastAsia="en-GB"/>
                <w14:ligatures w14:val="none"/>
              </w:rPr>
              <w:t>ă</w:t>
            </w:r>
          </w:p>
        </w:tc>
        <w:tc>
          <w:tcPr>
            <w:tcW w:w="322" w:type="pct"/>
            <w:vMerge w:val="restart"/>
            <w:shd w:val="clear" w:color="auto" w:fill="3B3838" w:themeFill="background2" w:themeFillShade="40"/>
            <w:vAlign w:val="center"/>
            <w:hideMark/>
          </w:tcPr>
          <w:p w14:paraId="4F1E12C3"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Electric</w:t>
            </w:r>
          </w:p>
        </w:tc>
        <w:tc>
          <w:tcPr>
            <w:tcW w:w="382" w:type="pct"/>
            <w:shd w:val="clear" w:color="auto" w:fill="3B3838" w:themeFill="background2" w:themeFillShade="40"/>
            <w:vAlign w:val="center"/>
            <w:hideMark/>
          </w:tcPr>
          <w:p w14:paraId="4FC2AF56" w14:textId="6B03858C"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Hibrid01</w:t>
            </w:r>
            <w:r w:rsidR="00CE7CCC" w:rsidRPr="007D3D4F">
              <w:rPr>
                <w:rFonts w:ascii="Times New Roman" w:eastAsia="Times New Roman" w:hAnsi="Times New Roman" w:cs="Times New Roman"/>
                <w:b/>
                <w:bCs/>
                <w:color w:val="FFFFFF" w:themeColor="background1"/>
                <w:kern w:val="0"/>
                <w:sz w:val="20"/>
                <w:szCs w:val="20"/>
                <w:lang w:eastAsia="en-GB"/>
                <w14:ligatures w14:val="none"/>
              </w:rPr>
              <w:t xml:space="preserve"> </w:t>
            </w:r>
            <w:r w:rsidRPr="007D3D4F">
              <w:rPr>
                <w:rFonts w:ascii="Times New Roman" w:eastAsia="Times New Roman" w:hAnsi="Times New Roman" w:cs="Times New Roman"/>
                <w:b/>
                <w:bCs/>
                <w:color w:val="FFFFFF" w:themeColor="background1"/>
                <w:kern w:val="0"/>
                <w:sz w:val="20"/>
                <w:szCs w:val="20"/>
                <w:lang w:eastAsia="en-GB"/>
                <w14:ligatures w14:val="none"/>
              </w:rPr>
              <w:t>(benzin</w:t>
            </w:r>
            <w:r w:rsidR="00CE7CCC" w:rsidRPr="007D3D4F">
              <w:rPr>
                <w:rFonts w:ascii="Times New Roman" w:eastAsia="Times New Roman" w:hAnsi="Times New Roman" w:cs="Times New Roman"/>
                <w:b/>
                <w:bCs/>
                <w:color w:val="FFFFFF" w:themeColor="background1"/>
                <w:kern w:val="0"/>
                <w:sz w:val="20"/>
                <w:szCs w:val="20"/>
                <w:lang w:eastAsia="en-GB"/>
                <w14:ligatures w14:val="none"/>
              </w:rPr>
              <w:t xml:space="preserve">ă </w:t>
            </w:r>
            <w:r w:rsidRPr="007D3D4F">
              <w:rPr>
                <w:rFonts w:ascii="Times New Roman" w:eastAsia="Times New Roman" w:hAnsi="Times New Roman" w:cs="Times New Roman"/>
                <w:b/>
                <w:bCs/>
                <w:color w:val="FFFFFF" w:themeColor="background1"/>
                <w:kern w:val="0"/>
                <w:sz w:val="20"/>
                <w:szCs w:val="20"/>
                <w:lang w:eastAsia="en-GB"/>
                <w14:ligatures w14:val="none"/>
              </w:rPr>
              <w:t>+</w:t>
            </w:r>
            <w:r w:rsidR="00CE7CCC" w:rsidRPr="007D3D4F">
              <w:rPr>
                <w:rFonts w:ascii="Times New Roman" w:eastAsia="Times New Roman" w:hAnsi="Times New Roman" w:cs="Times New Roman"/>
                <w:b/>
                <w:bCs/>
                <w:color w:val="FFFFFF" w:themeColor="background1"/>
                <w:kern w:val="0"/>
                <w:sz w:val="20"/>
                <w:szCs w:val="20"/>
                <w:lang w:eastAsia="en-GB"/>
                <w14:ligatures w14:val="none"/>
              </w:rPr>
              <w:t xml:space="preserve"> </w:t>
            </w:r>
            <w:r w:rsidRPr="007D3D4F">
              <w:rPr>
                <w:rFonts w:ascii="Times New Roman" w:eastAsia="Times New Roman" w:hAnsi="Times New Roman" w:cs="Times New Roman"/>
                <w:b/>
                <w:bCs/>
                <w:color w:val="FFFFFF" w:themeColor="background1"/>
                <w:kern w:val="0"/>
                <w:sz w:val="20"/>
                <w:szCs w:val="20"/>
                <w:lang w:eastAsia="en-GB"/>
                <w14:ligatures w14:val="none"/>
              </w:rPr>
              <w:t>electric)</w:t>
            </w:r>
          </w:p>
        </w:tc>
        <w:tc>
          <w:tcPr>
            <w:tcW w:w="240" w:type="pct"/>
            <w:vMerge w:val="restart"/>
            <w:shd w:val="clear" w:color="auto" w:fill="3B3838" w:themeFill="background2" w:themeFillShade="40"/>
            <w:vAlign w:val="center"/>
            <w:hideMark/>
          </w:tcPr>
          <w:p w14:paraId="7ACD50AD"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0--4</w:t>
            </w:r>
          </w:p>
        </w:tc>
        <w:tc>
          <w:tcPr>
            <w:tcW w:w="240" w:type="pct"/>
            <w:vMerge w:val="restart"/>
            <w:shd w:val="clear" w:color="auto" w:fill="3B3838" w:themeFill="background2" w:themeFillShade="40"/>
            <w:vAlign w:val="center"/>
            <w:hideMark/>
          </w:tcPr>
          <w:p w14:paraId="319D0644"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5--8</w:t>
            </w:r>
          </w:p>
        </w:tc>
        <w:tc>
          <w:tcPr>
            <w:tcW w:w="240" w:type="pct"/>
            <w:vMerge w:val="restart"/>
            <w:shd w:val="clear" w:color="auto" w:fill="3B3838" w:themeFill="background2" w:themeFillShade="40"/>
            <w:vAlign w:val="center"/>
            <w:hideMark/>
          </w:tcPr>
          <w:p w14:paraId="70063DA2"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9--12</w:t>
            </w:r>
          </w:p>
        </w:tc>
        <w:tc>
          <w:tcPr>
            <w:tcW w:w="272" w:type="pct"/>
            <w:vMerge w:val="restart"/>
            <w:shd w:val="clear" w:color="auto" w:fill="3B3838" w:themeFill="background2" w:themeFillShade="40"/>
            <w:vAlign w:val="center"/>
            <w:hideMark/>
          </w:tcPr>
          <w:p w14:paraId="3A777560" w14:textId="7777777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peste 12</w:t>
            </w:r>
          </w:p>
        </w:tc>
      </w:tr>
      <w:tr w:rsidR="007C2554" w:rsidRPr="007D3D4F" w14:paraId="7F1D560D" w14:textId="77777777" w:rsidTr="00BC049D">
        <w:trPr>
          <w:jc w:val="center"/>
        </w:trPr>
        <w:tc>
          <w:tcPr>
            <w:tcW w:w="824" w:type="pct"/>
            <w:vMerge/>
            <w:vAlign w:val="center"/>
            <w:hideMark/>
          </w:tcPr>
          <w:p w14:paraId="6154FBD8" w14:textId="77777777"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p>
        </w:tc>
        <w:tc>
          <w:tcPr>
            <w:tcW w:w="271" w:type="pct"/>
            <w:vMerge/>
            <w:vAlign w:val="center"/>
            <w:hideMark/>
          </w:tcPr>
          <w:p w14:paraId="144E6E0E" w14:textId="77777777"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p>
        </w:tc>
        <w:tc>
          <w:tcPr>
            <w:tcW w:w="239" w:type="pct"/>
            <w:vMerge/>
            <w:vAlign w:val="center"/>
            <w:hideMark/>
          </w:tcPr>
          <w:p w14:paraId="1FE0C7BC"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39" w:type="pct"/>
            <w:vMerge/>
            <w:vAlign w:val="center"/>
            <w:hideMark/>
          </w:tcPr>
          <w:p w14:paraId="0D5B3710"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40" w:type="pct"/>
            <w:vMerge/>
            <w:vAlign w:val="center"/>
            <w:hideMark/>
          </w:tcPr>
          <w:p w14:paraId="7F5C2A63"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72" w:type="pct"/>
            <w:vMerge/>
            <w:vAlign w:val="center"/>
            <w:hideMark/>
          </w:tcPr>
          <w:p w14:paraId="0DD32668"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72" w:type="pct"/>
            <w:vMerge/>
            <w:vAlign w:val="center"/>
            <w:hideMark/>
          </w:tcPr>
          <w:p w14:paraId="787522CB"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72" w:type="pct"/>
            <w:vMerge/>
            <w:vAlign w:val="center"/>
            <w:hideMark/>
          </w:tcPr>
          <w:p w14:paraId="40C4BCBC"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325" w:type="pct"/>
            <w:vMerge/>
            <w:vAlign w:val="center"/>
            <w:hideMark/>
          </w:tcPr>
          <w:p w14:paraId="56893CDB"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351" w:type="pct"/>
            <w:vMerge/>
            <w:vAlign w:val="center"/>
            <w:hideMark/>
          </w:tcPr>
          <w:p w14:paraId="69F07F1D"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322" w:type="pct"/>
            <w:vMerge/>
            <w:vAlign w:val="center"/>
            <w:hideMark/>
          </w:tcPr>
          <w:p w14:paraId="4A496868"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382" w:type="pct"/>
            <w:shd w:val="clear" w:color="auto" w:fill="3B3838" w:themeFill="background2" w:themeFillShade="40"/>
            <w:vAlign w:val="center"/>
            <w:hideMark/>
          </w:tcPr>
          <w:p w14:paraId="7D3734B2" w14:textId="6E887555"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Hibrid02</w:t>
            </w:r>
            <w:r w:rsidR="00CE7CCC" w:rsidRPr="007D3D4F">
              <w:rPr>
                <w:rFonts w:ascii="Times New Roman" w:eastAsia="Times New Roman" w:hAnsi="Times New Roman" w:cs="Times New Roman"/>
                <w:b/>
                <w:bCs/>
                <w:color w:val="FFFFFF" w:themeColor="background1"/>
                <w:kern w:val="0"/>
                <w:sz w:val="20"/>
                <w:szCs w:val="20"/>
                <w:lang w:eastAsia="en-GB"/>
                <w14:ligatures w14:val="none"/>
              </w:rPr>
              <w:t xml:space="preserve"> </w:t>
            </w:r>
            <w:r w:rsidRPr="007D3D4F">
              <w:rPr>
                <w:rFonts w:ascii="Times New Roman" w:eastAsia="Times New Roman" w:hAnsi="Times New Roman" w:cs="Times New Roman"/>
                <w:b/>
                <w:bCs/>
                <w:color w:val="FFFFFF" w:themeColor="background1"/>
                <w:kern w:val="0"/>
                <w:sz w:val="20"/>
                <w:szCs w:val="20"/>
                <w:lang w:eastAsia="en-GB"/>
                <w14:ligatures w14:val="none"/>
              </w:rPr>
              <w:t>(motorin</w:t>
            </w:r>
            <w:r w:rsidR="00CE7CCC" w:rsidRPr="007D3D4F">
              <w:rPr>
                <w:rFonts w:ascii="Times New Roman" w:eastAsia="Times New Roman" w:hAnsi="Times New Roman" w:cs="Times New Roman"/>
                <w:b/>
                <w:bCs/>
                <w:color w:val="FFFFFF" w:themeColor="background1"/>
                <w:kern w:val="0"/>
                <w:sz w:val="20"/>
                <w:szCs w:val="20"/>
                <w:lang w:eastAsia="en-GB"/>
                <w14:ligatures w14:val="none"/>
              </w:rPr>
              <w:t xml:space="preserve">ă </w:t>
            </w:r>
            <w:r w:rsidRPr="007D3D4F">
              <w:rPr>
                <w:rFonts w:ascii="Times New Roman" w:eastAsia="Times New Roman" w:hAnsi="Times New Roman" w:cs="Times New Roman"/>
                <w:b/>
                <w:bCs/>
                <w:color w:val="FFFFFF" w:themeColor="background1"/>
                <w:kern w:val="0"/>
                <w:sz w:val="20"/>
                <w:szCs w:val="20"/>
                <w:lang w:eastAsia="en-GB"/>
                <w14:ligatures w14:val="none"/>
              </w:rPr>
              <w:t>+electric)</w:t>
            </w:r>
          </w:p>
        </w:tc>
        <w:tc>
          <w:tcPr>
            <w:tcW w:w="240" w:type="pct"/>
            <w:vMerge/>
            <w:vAlign w:val="center"/>
            <w:hideMark/>
          </w:tcPr>
          <w:p w14:paraId="49ED857A"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40" w:type="pct"/>
            <w:vMerge/>
            <w:vAlign w:val="center"/>
            <w:hideMark/>
          </w:tcPr>
          <w:p w14:paraId="38267A0E"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40" w:type="pct"/>
            <w:vMerge/>
            <w:vAlign w:val="center"/>
            <w:hideMark/>
          </w:tcPr>
          <w:p w14:paraId="372531AB"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72" w:type="pct"/>
            <w:vMerge/>
            <w:vAlign w:val="center"/>
            <w:hideMark/>
          </w:tcPr>
          <w:p w14:paraId="28EF4B02"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r>
      <w:tr w:rsidR="007C2554" w:rsidRPr="007D3D4F" w14:paraId="1692384E" w14:textId="77777777" w:rsidTr="00BC049D">
        <w:trPr>
          <w:jc w:val="center"/>
        </w:trPr>
        <w:tc>
          <w:tcPr>
            <w:tcW w:w="824" w:type="pct"/>
            <w:vMerge/>
            <w:vAlign w:val="center"/>
            <w:hideMark/>
          </w:tcPr>
          <w:p w14:paraId="237B381F" w14:textId="77777777"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p>
        </w:tc>
        <w:tc>
          <w:tcPr>
            <w:tcW w:w="271" w:type="pct"/>
            <w:vMerge/>
            <w:vAlign w:val="center"/>
            <w:hideMark/>
          </w:tcPr>
          <w:p w14:paraId="4924B96E" w14:textId="77777777"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p>
        </w:tc>
        <w:tc>
          <w:tcPr>
            <w:tcW w:w="239" w:type="pct"/>
            <w:vMerge/>
            <w:vAlign w:val="center"/>
            <w:hideMark/>
          </w:tcPr>
          <w:p w14:paraId="20EA8555"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39" w:type="pct"/>
            <w:vMerge/>
            <w:vAlign w:val="center"/>
            <w:hideMark/>
          </w:tcPr>
          <w:p w14:paraId="6009D595"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40" w:type="pct"/>
            <w:vMerge/>
            <w:vAlign w:val="center"/>
            <w:hideMark/>
          </w:tcPr>
          <w:p w14:paraId="7453AECF"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72" w:type="pct"/>
            <w:vMerge/>
            <w:vAlign w:val="center"/>
            <w:hideMark/>
          </w:tcPr>
          <w:p w14:paraId="49663ACD"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72" w:type="pct"/>
            <w:vMerge/>
            <w:vAlign w:val="center"/>
            <w:hideMark/>
          </w:tcPr>
          <w:p w14:paraId="71EAB132"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72" w:type="pct"/>
            <w:vMerge/>
            <w:vAlign w:val="center"/>
            <w:hideMark/>
          </w:tcPr>
          <w:p w14:paraId="539CCC7D"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325" w:type="pct"/>
            <w:vMerge/>
            <w:vAlign w:val="center"/>
            <w:hideMark/>
          </w:tcPr>
          <w:p w14:paraId="415DC508"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351" w:type="pct"/>
            <w:vMerge/>
            <w:vAlign w:val="center"/>
            <w:hideMark/>
          </w:tcPr>
          <w:p w14:paraId="455C93C8"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322" w:type="pct"/>
            <w:vMerge/>
            <w:vAlign w:val="center"/>
            <w:hideMark/>
          </w:tcPr>
          <w:p w14:paraId="0B9E2B43"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382" w:type="pct"/>
            <w:shd w:val="clear" w:color="auto" w:fill="3B3838" w:themeFill="background2" w:themeFillShade="40"/>
            <w:vAlign w:val="center"/>
            <w:hideMark/>
          </w:tcPr>
          <w:p w14:paraId="4DEE6761" w14:textId="16EB6997" w:rsidR="00FB3B94" w:rsidRPr="007D3D4F" w:rsidRDefault="00FB3B94"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Hibrid03</w:t>
            </w:r>
            <w:r w:rsidR="00CE7CCC" w:rsidRPr="007D3D4F">
              <w:rPr>
                <w:rFonts w:ascii="Times New Roman" w:eastAsia="Times New Roman" w:hAnsi="Times New Roman" w:cs="Times New Roman"/>
                <w:b/>
                <w:bCs/>
                <w:color w:val="FFFFFF" w:themeColor="background1"/>
                <w:kern w:val="0"/>
                <w:sz w:val="20"/>
                <w:szCs w:val="20"/>
                <w:lang w:eastAsia="en-GB"/>
                <w14:ligatures w14:val="none"/>
              </w:rPr>
              <w:t xml:space="preserve"> </w:t>
            </w:r>
            <w:r w:rsidRPr="007D3D4F">
              <w:rPr>
                <w:rFonts w:ascii="Times New Roman" w:eastAsia="Times New Roman" w:hAnsi="Times New Roman" w:cs="Times New Roman"/>
                <w:b/>
                <w:bCs/>
                <w:color w:val="FFFFFF" w:themeColor="background1"/>
                <w:kern w:val="0"/>
                <w:sz w:val="20"/>
                <w:szCs w:val="20"/>
                <w:lang w:eastAsia="en-GB"/>
                <w14:ligatures w14:val="none"/>
              </w:rPr>
              <w:t>(GPL</w:t>
            </w:r>
            <w:r w:rsidR="00CE7CCC" w:rsidRPr="007D3D4F">
              <w:rPr>
                <w:rFonts w:ascii="Times New Roman" w:eastAsia="Times New Roman" w:hAnsi="Times New Roman" w:cs="Times New Roman"/>
                <w:b/>
                <w:bCs/>
                <w:color w:val="FFFFFF" w:themeColor="background1"/>
                <w:kern w:val="0"/>
                <w:sz w:val="20"/>
                <w:szCs w:val="20"/>
                <w:lang w:eastAsia="en-GB"/>
                <w14:ligatures w14:val="none"/>
              </w:rPr>
              <w:t xml:space="preserve"> </w:t>
            </w:r>
            <w:r w:rsidRPr="007D3D4F">
              <w:rPr>
                <w:rFonts w:ascii="Times New Roman" w:eastAsia="Times New Roman" w:hAnsi="Times New Roman" w:cs="Times New Roman"/>
                <w:b/>
                <w:bCs/>
                <w:color w:val="FFFFFF" w:themeColor="background1"/>
                <w:kern w:val="0"/>
                <w:sz w:val="20"/>
                <w:szCs w:val="20"/>
                <w:lang w:eastAsia="en-GB"/>
                <w14:ligatures w14:val="none"/>
              </w:rPr>
              <w:t>+</w:t>
            </w:r>
            <w:r w:rsidR="00CE7CCC" w:rsidRPr="007D3D4F">
              <w:rPr>
                <w:rFonts w:ascii="Times New Roman" w:eastAsia="Times New Roman" w:hAnsi="Times New Roman" w:cs="Times New Roman"/>
                <w:b/>
                <w:bCs/>
                <w:color w:val="FFFFFF" w:themeColor="background1"/>
                <w:kern w:val="0"/>
                <w:sz w:val="20"/>
                <w:szCs w:val="20"/>
                <w:lang w:eastAsia="en-GB"/>
                <w14:ligatures w14:val="none"/>
              </w:rPr>
              <w:t xml:space="preserve"> </w:t>
            </w:r>
            <w:r w:rsidRPr="007D3D4F">
              <w:rPr>
                <w:rFonts w:ascii="Times New Roman" w:eastAsia="Times New Roman" w:hAnsi="Times New Roman" w:cs="Times New Roman"/>
                <w:b/>
                <w:bCs/>
                <w:color w:val="FFFFFF" w:themeColor="background1"/>
                <w:kern w:val="0"/>
                <w:sz w:val="20"/>
                <w:szCs w:val="20"/>
                <w:lang w:eastAsia="en-GB"/>
                <w14:ligatures w14:val="none"/>
              </w:rPr>
              <w:t>electric)</w:t>
            </w:r>
          </w:p>
        </w:tc>
        <w:tc>
          <w:tcPr>
            <w:tcW w:w="240" w:type="pct"/>
            <w:vMerge/>
            <w:vAlign w:val="center"/>
            <w:hideMark/>
          </w:tcPr>
          <w:p w14:paraId="4E00DD5D"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40" w:type="pct"/>
            <w:vMerge/>
            <w:vAlign w:val="center"/>
            <w:hideMark/>
          </w:tcPr>
          <w:p w14:paraId="12390C8F"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40" w:type="pct"/>
            <w:vMerge/>
            <w:vAlign w:val="center"/>
            <w:hideMark/>
          </w:tcPr>
          <w:p w14:paraId="31A38046"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c>
          <w:tcPr>
            <w:tcW w:w="272" w:type="pct"/>
            <w:vMerge/>
            <w:vAlign w:val="center"/>
            <w:hideMark/>
          </w:tcPr>
          <w:p w14:paraId="687CCB5A" w14:textId="77777777" w:rsidR="00FB3B94" w:rsidRPr="007D3D4F" w:rsidRDefault="00FB3B94"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p>
        </w:tc>
      </w:tr>
      <w:tr w:rsidR="00BC049D" w:rsidRPr="007D3D4F" w14:paraId="4F0C8168" w14:textId="77777777" w:rsidTr="00BC049D">
        <w:trPr>
          <w:jc w:val="center"/>
        </w:trPr>
        <w:tc>
          <w:tcPr>
            <w:tcW w:w="824" w:type="pct"/>
            <w:shd w:val="clear" w:color="auto" w:fill="E7E6E6" w:themeFill="background2"/>
            <w:vAlign w:val="center"/>
            <w:hideMark/>
          </w:tcPr>
          <w:p w14:paraId="0286BE70" w14:textId="29162A2C"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t>Mopede (L1e, L2e)   </w:t>
            </w:r>
          </w:p>
        </w:tc>
        <w:tc>
          <w:tcPr>
            <w:tcW w:w="271" w:type="pct"/>
            <w:shd w:val="clear" w:color="auto" w:fill="E7E6E6" w:themeFill="background2"/>
            <w:vAlign w:val="center"/>
            <w:hideMark/>
          </w:tcPr>
          <w:p w14:paraId="064487B6"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91</w:t>
            </w:r>
          </w:p>
        </w:tc>
        <w:tc>
          <w:tcPr>
            <w:tcW w:w="239" w:type="pct"/>
            <w:shd w:val="clear" w:color="auto" w:fill="E7E6E6" w:themeFill="background2"/>
            <w:vAlign w:val="center"/>
            <w:hideMark/>
          </w:tcPr>
          <w:p w14:paraId="0E170D5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39" w:type="pct"/>
            <w:shd w:val="clear" w:color="auto" w:fill="E7E6E6" w:themeFill="background2"/>
            <w:vAlign w:val="center"/>
            <w:hideMark/>
          </w:tcPr>
          <w:p w14:paraId="256874C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3353E1C0"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72" w:type="pct"/>
            <w:shd w:val="clear" w:color="auto" w:fill="E7E6E6" w:themeFill="background2"/>
            <w:vAlign w:val="center"/>
            <w:hideMark/>
          </w:tcPr>
          <w:p w14:paraId="3408457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w:t>
            </w:r>
          </w:p>
        </w:tc>
        <w:tc>
          <w:tcPr>
            <w:tcW w:w="272" w:type="pct"/>
            <w:shd w:val="clear" w:color="auto" w:fill="E7E6E6" w:themeFill="background2"/>
            <w:vAlign w:val="center"/>
            <w:hideMark/>
          </w:tcPr>
          <w:p w14:paraId="3C5E166D"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51</w:t>
            </w:r>
          </w:p>
        </w:tc>
        <w:tc>
          <w:tcPr>
            <w:tcW w:w="272" w:type="pct"/>
            <w:shd w:val="clear" w:color="auto" w:fill="E7E6E6" w:themeFill="background2"/>
            <w:vAlign w:val="center"/>
            <w:hideMark/>
          </w:tcPr>
          <w:p w14:paraId="008F1F2B"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26</w:t>
            </w:r>
          </w:p>
        </w:tc>
        <w:tc>
          <w:tcPr>
            <w:tcW w:w="325" w:type="pct"/>
            <w:shd w:val="clear" w:color="auto" w:fill="E7E6E6" w:themeFill="background2"/>
            <w:vAlign w:val="center"/>
            <w:hideMark/>
          </w:tcPr>
          <w:p w14:paraId="0DAB5C0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91</w:t>
            </w:r>
          </w:p>
        </w:tc>
        <w:tc>
          <w:tcPr>
            <w:tcW w:w="351" w:type="pct"/>
            <w:shd w:val="clear" w:color="auto" w:fill="E7E6E6" w:themeFill="background2"/>
            <w:vAlign w:val="center"/>
            <w:hideMark/>
          </w:tcPr>
          <w:p w14:paraId="01F68D95"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22" w:type="pct"/>
            <w:shd w:val="clear" w:color="auto" w:fill="E7E6E6" w:themeFill="background2"/>
            <w:vAlign w:val="center"/>
            <w:hideMark/>
          </w:tcPr>
          <w:p w14:paraId="6AA2309B"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82" w:type="pct"/>
            <w:shd w:val="clear" w:color="auto" w:fill="E7E6E6" w:themeFill="background2"/>
            <w:vAlign w:val="center"/>
            <w:hideMark/>
          </w:tcPr>
          <w:p w14:paraId="6B2F9797"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1BD77CE2"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34DEBBD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5FD95430"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w:t>
            </w:r>
          </w:p>
        </w:tc>
        <w:tc>
          <w:tcPr>
            <w:tcW w:w="272" w:type="pct"/>
            <w:shd w:val="clear" w:color="auto" w:fill="E7E6E6" w:themeFill="background2"/>
            <w:vAlign w:val="center"/>
            <w:hideMark/>
          </w:tcPr>
          <w:p w14:paraId="2F7FA5E8"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79</w:t>
            </w:r>
          </w:p>
        </w:tc>
      </w:tr>
      <w:tr w:rsidR="00BC049D" w:rsidRPr="007D3D4F" w14:paraId="0C15732B" w14:textId="77777777" w:rsidTr="00BC049D">
        <w:trPr>
          <w:jc w:val="center"/>
        </w:trPr>
        <w:tc>
          <w:tcPr>
            <w:tcW w:w="824" w:type="pct"/>
            <w:shd w:val="clear" w:color="auto" w:fill="E7E6E6" w:themeFill="background2"/>
            <w:vAlign w:val="center"/>
            <w:hideMark/>
          </w:tcPr>
          <w:p w14:paraId="2DCD619A" w14:textId="5564F635"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t>Motociclete</w:t>
            </w:r>
            <w:r w:rsidR="00BC049D" w:rsidRPr="007D3D4F">
              <w:rPr>
                <w:rFonts w:ascii="Times New Roman" w:eastAsia="Times New Roman" w:hAnsi="Times New Roman" w:cs="Times New Roman"/>
                <w:b/>
                <w:bCs/>
                <w:color w:val="000000"/>
                <w:kern w:val="0"/>
                <w:sz w:val="20"/>
                <w:szCs w:val="20"/>
                <w:lang w:eastAsia="en-GB"/>
                <w14:ligatures w14:val="none"/>
              </w:rPr>
              <w:t xml:space="preserve"> </w:t>
            </w:r>
            <w:r w:rsidRPr="007D3D4F">
              <w:rPr>
                <w:rFonts w:ascii="Times New Roman" w:eastAsia="Times New Roman" w:hAnsi="Times New Roman" w:cs="Times New Roman"/>
                <w:b/>
                <w:bCs/>
                <w:color w:val="000000"/>
                <w:kern w:val="0"/>
                <w:sz w:val="20"/>
                <w:szCs w:val="20"/>
                <w:lang w:eastAsia="en-GB"/>
                <w14:ligatures w14:val="none"/>
              </w:rPr>
              <w:t>(L3e, L4e, L5e, L6e, L7e)   </w:t>
            </w:r>
          </w:p>
        </w:tc>
        <w:tc>
          <w:tcPr>
            <w:tcW w:w="271" w:type="pct"/>
            <w:shd w:val="clear" w:color="auto" w:fill="E7E6E6" w:themeFill="background2"/>
            <w:vAlign w:val="center"/>
            <w:hideMark/>
          </w:tcPr>
          <w:p w14:paraId="3B261D39" w14:textId="50A26684"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489</w:t>
            </w:r>
          </w:p>
        </w:tc>
        <w:tc>
          <w:tcPr>
            <w:tcW w:w="239" w:type="pct"/>
            <w:shd w:val="clear" w:color="auto" w:fill="E7E6E6" w:themeFill="background2"/>
            <w:vAlign w:val="center"/>
            <w:hideMark/>
          </w:tcPr>
          <w:p w14:paraId="403BEA1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133</w:t>
            </w:r>
          </w:p>
        </w:tc>
        <w:tc>
          <w:tcPr>
            <w:tcW w:w="239" w:type="pct"/>
            <w:shd w:val="clear" w:color="auto" w:fill="E7E6E6" w:themeFill="background2"/>
            <w:vAlign w:val="center"/>
            <w:hideMark/>
          </w:tcPr>
          <w:p w14:paraId="5590AB7B"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129</w:t>
            </w:r>
          </w:p>
        </w:tc>
        <w:tc>
          <w:tcPr>
            <w:tcW w:w="240" w:type="pct"/>
            <w:shd w:val="clear" w:color="auto" w:fill="E7E6E6" w:themeFill="background2"/>
            <w:vAlign w:val="center"/>
            <w:hideMark/>
          </w:tcPr>
          <w:p w14:paraId="2A0F64D4"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96</w:t>
            </w:r>
          </w:p>
        </w:tc>
        <w:tc>
          <w:tcPr>
            <w:tcW w:w="272" w:type="pct"/>
            <w:shd w:val="clear" w:color="auto" w:fill="E7E6E6" w:themeFill="background2"/>
            <w:vAlign w:val="center"/>
            <w:hideMark/>
          </w:tcPr>
          <w:p w14:paraId="2B9BD602"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129</w:t>
            </w:r>
          </w:p>
        </w:tc>
        <w:tc>
          <w:tcPr>
            <w:tcW w:w="272" w:type="pct"/>
            <w:shd w:val="clear" w:color="auto" w:fill="E7E6E6" w:themeFill="background2"/>
            <w:vAlign w:val="center"/>
            <w:hideMark/>
          </w:tcPr>
          <w:p w14:paraId="146DDF06"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334</w:t>
            </w:r>
          </w:p>
        </w:tc>
        <w:tc>
          <w:tcPr>
            <w:tcW w:w="272" w:type="pct"/>
            <w:shd w:val="clear" w:color="auto" w:fill="E7E6E6" w:themeFill="background2"/>
            <w:vAlign w:val="center"/>
            <w:hideMark/>
          </w:tcPr>
          <w:p w14:paraId="5611A9EB"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668</w:t>
            </w:r>
          </w:p>
        </w:tc>
        <w:tc>
          <w:tcPr>
            <w:tcW w:w="325" w:type="pct"/>
            <w:shd w:val="clear" w:color="auto" w:fill="E7E6E6" w:themeFill="background2"/>
            <w:vAlign w:val="center"/>
            <w:hideMark/>
          </w:tcPr>
          <w:p w14:paraId="7EB073CF"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1464</w:t>
            </w:r>
          </w:p>
        </w:tc>
        <w:tc>
          <w:tcPr>
            <w:tcW w:w="351" w:type="pct"/>
            <w:shd w:val="clear" w:color="auto" w:fill="E7E6E6" w:themeFill="background2"/>
            <w:vAlign w:val="center"/>
            <w:hideMark/>
          </w:tcPr>
          <w:p w14:paraId="5257CB6D"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w:t>
            </w:r>
          </w:p>
        </w:tc>
        <w:tc>
          <w:tcPr>
            <w:tcW w:w="322" w:type="pct"/>
            <w:shd w:val="clear" w:color="auto" w:fill="E7E6E6" w:themeFill="background2"/>
            <w:vAlign w:val="center"/>
            <w:hideMark/>
          </w:tcPr>
          <w:p w14:paraId="0D23FEED"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13</w:t>
            </w:r>
          </w:p>
        </w:tc>
        <w:tc>
          <w:tcPr>
            <w:tcW w:w="382" w:type="pct"/>
            <w:shd w:val="clear" w:color="auto" w:fill="E7E6E6" w:themeFill="background2"/>
            <w:vAlign w:val="center"/>
            <w:hideMark/>
          </w:tcPr>
          <w:p w14:paraId="38F773E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082672C3"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209</w:t>
            </w:r>
          </w:p>
        </w:tc>
        <w:tc>
          <w:tcPr>
            <w:tcW w:w="240" w:type="pct"/>
            <w:shd w:val="clear" w:color="auto" w:fill="E7E6E6" w:themeFill="background2"/>
            <w:vAlign w:val="center"/>
            <w:hideMark/>
          </w:tcPr>
          <w:p w14:paraId="460D5065"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111</w:t>
            </w:r>
          </w:p>
        </w:tc>
        <w:tc>
          <w:tcPr>
            <w:tcW w:w="240" w:type="pct"/>
            <w:shd w:val="clear" w:color="auto" w:fill="E7E6E6" w:themeFill="background2"/>
            <w:vAlign w:val="center"/>
            <w:hideMark/>
          </w:tcPr>
          <w:p w14:paraId="07D21D5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73</w:t>
            </w:r>
          </w:p>
        </w:tc>
        <w:tc>
          <w:tcPr>
            <w:tcW w:w="272" w:type="pct"/>
            <w:shd w:val="clear" w:color="auto" w:fill="E7E6E6" w:themeFill="background2"/>
            <w:vAlign w:val="center"/>
            <w:hideMark/>
          </w:tcPr>
          <w:p w14:paraId="22BB721C" w14:textId="17B52E90"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096</w:t>
            </w:r>
          </w:p>
        </w:tc>
      </w:tr>
      <w:tr w:rsidR="00BC049D" w:rsidRPr="007D3D4F" w14:paraId="77D8E60E" w14:textId="77777777" w:rsidTr="00BC049D">
        <w:trPr>
          <w:jc w:val="center"/>
        </w:trPr>
        <w:tc>
          <w:tcPr>
            <w:tcW w:w="824" w:type="pct"/>
            <w:shd w:val="clear" w:color="auto" w:fill="E7E6E6" w:themeFill="background2"/>
            <w:vAlign w:val="center"/>
            <w:hideMark/>
          </w:tcPr>
          <w:p w14:paraId="2DEFE7AD" w14:textId="77777777"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t>Autoturisme (M1, M1G)   </w:t>
            </w:r>
          </w:p>
        </w:tc>
        <w:tc>
          <w:tcPr>
            <w:tcW w:w="271" w:type="pct"/>
            <w:shd w:val="clear" w:color="auto" w:fill="E7E6E6" w:themeFill="background2"/>
            <w:vAlign w:val="center"/>
            <w:hideMark/>
          </w:tcPr>
          <w:p w14:paraId="6797B462" w14:textId="2CB5AC5E"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76</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659</w:t>
            </w:r>
          </w:p>
        </w:tc>
        <w:tc>
          <w:tcPr>
            <w:tcW w:w="239" w:type="pct"/>
            <w:shd w:val="clear" w:color="auto" w:fill="E7E6E6" w:themeFill="background2"/>
            <w:vAlign w:val="center"/>
            <w:hideMark/>
          </w:tcPr>
          <w:p w14:paraId="41EFF9F4" w14:textId="0143C40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653</w:t>
            </w:r>
          </w:p>
        </w:tc>
        <w:tc>
          <w:tcPr>
            <w:tcW w:w="239" w:type="pct"/>
            <w:shd w:val="clear" w:color="auto" w:fill="E7E6E6" w:themeFill="background2"/>
            <w:vAlign w:val="center"/>
            <w:hideMark/>
          </w:tcPr>
          <w:p w14:paraId="2E54E420" w14:textId="1FC3ED81"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503</w:t>
            </w:r>
          </w:p>
        </w:tc>
        <w:tc>
          <w:tcPr>
            <w:tcW w:w="240" w:type="pct"/>
            <w:shd w:val="clear" w:color="auto" w:fill="E7E6E6" w:themeFill="background2"/>
            <w:vAlign w:val="center"/>
            <w:hideMark/>
          </w:tcPr>
          <w:p w14:paraId="09C07B57" w14:textId="3A7B20BE"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524</w:t>
            </w:r>
          </w:p>
        </w:tc>
        <w:tc>
          <w:tcPr>
            <w:tcW w:w="272" w:type="pct"/>
            <w:shd w:val="clear" w:color="auto" w:fill="E7E6E6" w:themeFill="background2"/>
            <w:vAlign w:val="center"/>
            <w:hideMark/>
          </w:tcPr>
          <w:p w14:paraId="384878AC" w14:textId="20A3E4D1"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484</w:t>
            </w:r>
          </w:p>
        </w:tc>
        <w:tc>
          <w:tcPr>
            <w:tcW w:w="272" w:type="pct"/>
            <w:shd w:val="clear" w:color="auto" w:fill="E7E6E6" w:themeFill="background2"/>
            <w:vAlign w:val="center"/>
            <w:hideMark/>
          </w:tcPr>
          <w:p w14:paraId="4F4A1D93" w14:textId="4A8DE22B"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24</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895</w:t>
            </w:r>
          </w:p>
        </w:tc>
        <w:tc>
          <w:tcPr>
            <w:tcW w:w="272" w:type="pct"/>
            <w:shd w:val="clear" w:color="auto" w:fill="E7E6E6" w:themeFill="background2"/>
            <w:vAlign w:val="center"/>
            <w:hideMark/>
          </w:tcPr>
          <w:p w14:paraId="695D67FE" w14:textId="402A66F6"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29</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600</w:t>
            </w:r>
          </w:p>
        </w:tc>
        <w:tc>
          <w:tcPr>
            <w:tcW w:w="325" w:type="pct"/>
            <w:shd w:val="clear" w:color="auto" w:fill="E7E6E6" w:themeFill="background2"/>
            <w:vAlign w:val="center"/>
            <w:hideMark/>
          </w:tcPr>
          <w:p w14:paraId="3F6B6213" w14:textId="35BCAEF4"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36</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201</w:t>
            </w:r>
          </w:p>
        </w:tc>
        <w:tc>
          <w:tcPr>
            <w:tcW w:w="351" w:type="pct"/>
            <w:shd w:val="clear" w:color="auto" w:fill="E7E6E6" w:themeFill="background2"/>
            <w:vAlign w:val="center"/>
            <w:hideMark/>
          </w:tcPr>
          <w:p w14:paraId="159E54D6" w14:textId="22909A56"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38</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358</w:t>
            </w:r>
          </w:p>
        </w:tc>
        <w:tc>
          <w:tcPr>
            <w:tcW w:w="322" w:type="pct"/>
            <w:shd w:val="clear" w:color="auto" w:fill="E7E6E6" w:themeFill="background2"/>
            <w:vAlign w:val="center"/>
            <w:hideMark/>
          </w:tcPr>
          <w:p w14:paraId="762958B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182</w:t>
            </w:r>
          </w:p>
        </w:tc>
        <w:tc>
          <w:tcPr>
            <w:tcW w:w="382" w:type="pct"/>
            <w:shd w:val="clear" w:color="auto" w:fill="E7E6E6" w:themeFill="background2"/>
            <w:vAlign w:val="center"/>
            <w:hideMark/>
          </w:tcPr>
          <w:p w14:paraId="2B3DC03F" w14:textId="207DAAF6"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192</w:t>
            </w:r>
          </w:p>
        </w:tc>
        <w:tc>
          <w:tcPr>
            <w:tcW w:w="240" w:type="pct"/>
            <w:shd w:val="clear" w:color="auto" w:fill="E7E6E6" w:themeFill="background2"/>
            <w:vAlign w:val="center"/>
            <w:hideMark/>
          </w:tcPr>
          <w:p w14:paraId="7B050148" w14:textId="1014716B"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162</w:t>
            </w:r>
          </w:p>
        </w:tc>
        <w:tc>
          <w:tcPr>
            <w:tcW w:w="240" w:type="pct"/>
            <w:shd w:val="clear" w:color="auto" w:fill="E7E6E6" w:themeFill="background2"/>
            <w:vAlign w:val="center"/>
            <w:hideMark/>
          </w:tcPr>
          <w:p w14:paraId="0A0F238A" w14:textId="7B4FC55F"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653</w:t>
            </w:r>
          </w:p>
        </w:tc>
        <w:tc>
          <w:tcPr>
            <w:tcW w:w="240" w:type="pct"/>
            <w:shd w:val="clear" w:color="auto" w:fill="E7E6E6" w:themeFill="background2"/>
            <w:vAlign w:val="center"/>
            <w:hideMark/>
          </w:tcPr>
          <w:p w14:paraId="01D32CB2" w14:textId="059AF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969</w:t>
            </w:r>
          </w:p>
        </w:tc>
        <w:tc>
          <w:tcPr>
            <w:tcW w:w="272" w:type="pct"/>
            <w:shd w:val="clear" w:color="auto" w:fill="E7E6E6" w:themeFill="background2"/>
            <w:vAlign w:val="center"/>
            <w:hideMark/>
          </w:tcPr>
          <w:p w14:paraId="1D6647B0" w14:textId="251452B2"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875</w:t>
            </w:r>
          </w:p>
        </w:tc>
      </w:tr>
      <w:tr w:rsidR="00BC049D" w:rsidRPr="007D3D4F" w14:paraId="601540DF" w14:textId="77777777" w:rsidTr="00BC049D">
        <w:trPr>
          <w:jc w:val="center"/>
        </w:trPr>
        <w:tc>
          <w:tcPr>
            <w:tcW w:w="824" w:type="pct"/>
            <w:shd w:val="clear" w:color="auto" w:fill="E7E6E6" w:themeFill="background2"/>
            <w:vAlign w:val="center"/>
            <w:hideMark/>
          </w:tcPr>
          <w:p w14:paraId="56FEA3FE" w14:textId="006C4A24"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t xml:space="preserve">Autobuze </w:t>
            </w:r>
            <w:r w:rsidR="00BC049D" w:rsidRPr="007D3D4F">
              <w:rPr>
                <w:rFonts w:ascii="Times New Roman" w:eastAsia="Times New Roman" w:hAnsi="Times New Roman" w:cs="Times New Roman"/>
                <w:b/>
                <w:bCs/>
                <w:color w:val="000000"/>
                <w:kern w:val="0"/>
                <w:sz w:val="20"/>
                <w:szCs w:val="20"/>
                <w:lang w:eastAsia="en-GB"/>
                <w14:ligatures w14:val="none"/>
              </w:rPr>
              <w:t>ș</w:t>
            </w:r>
            <w:r w:rsidRPr="007D3D4F">
              <w:rPr>
                <w:rFonts w:ascii="Times New Roman" w:eastAsia="Times New Roman" w:hAnsi="Times New Roman" w:cs="Times New Roman"/>
                <w:b/>
                <w:bCs/>
                <w:color w:val="000000"/>
                <w:kern w:val="0"/>
                <w:sz w:val="20"/>
                <w:szCs w:val="20"/>
                <w:lang w:eastAsia="en-GB"/>
                <w14:ligatures w14:val="none"/>
              </w:rPr>
              <w:t>i microbuze (M2, M3)   </w:t>
            </w:r>
          </w:p>
        </w:tc>
        <w:tc>
          <w:tcPr>
            <w:tcW w:w="271" w:type="pct"/>
            <w:shd w:val="clear" w:color="auto" w:fill="E7E6E6" w:themeFill="background2"/>
            <w:vAlign w:val="center"/>
            <w:hideMark/>
          </w:tcPr>
          <w:p w14:paraId="01E61953"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581</w:t>
            </w:r>
          </w:p>
        </w:tc>
        <w:tc>
          <w:tcPr>
            <w:tcW w:w="239" w:type="pct"/>
            <w:shd w:val="clear" w:color="auto" w:fill="E7E6E6" w:themeFill="background2"/>
            <w:vAlign w:val="center"/>
            <w:hideMark/>
          </w:tcPr>
          <w:p w14:paraId="736634A7"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41</w:t>
            </w:r>
          </w:p>
        </w:tc>
        <w:tc>
          <w:tcPr>
            <w:tcW w:w="239" w:type="pct"/>
            <w:shd w:val="clear" w:color="auto" w:fill="E7E6E6" w:themeFill="background2"/>
            <w:vAlign w:val="center"/>
            <w:hideMark/>
          </w:tcPr>
          <w:p w14:paraId="32FEF105"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w:t>
            </w:r>
          </w:p>
        </w:tc>
        <w:tc>
          <w:tcPr>
            <w:tcW w:w="240" w:type="pct"/>
            <w:shd w:val="clear" w:color="auto" w:fill="E7E6E6" w:themeFill="background2"/>
            <w:vAlign w:val="center"/>
            <w:hideMark/>
          </w:tcPr>
          <w:p w14:paraId="79710B14"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80</w:t>
            </w:r>
          </w:p>
        </w:tc>
        <w:tc>
          <w:tcPr>
            <w:tcW w:w="272" w:type="pct"/>
            <w:shd w:val="clear" w:color="auto" w:fill="E7E6E6" w:themeFill="background2"/>
            <w:vAlign w:val="center"/>
            <w:hideMark/>
          </w:tcPr>
          <w:p w14:paraId="00C2FC4D"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55</w:t>
            </w:r>
          </w:p>
        </w:tc>
        <w:tc>
          <w:tcPr>
            <w:tcW w:w="272" w:type="pct"/>
            <w:shd w:val="clear" w:color="auto" w:fill="E7E6E6" w:themeFill="background2"/>
            <w:vAlign w:val="center"/>
            <w:hideMark/>
          </w:tcPr>
          <w:p w14:paraId="5355B72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156</w:t>
            </w:r>
          </w:p>
        </w:tc>
        <w:tc>
          <w:tcPr>
            <w:tcW w:w="272" w:type="pct"/>
            <w:shd w:val="clear" w:color="auto" w:fill="E7E6E6" w:themeFill="background2"/>
            <w:vAlign w:val="center"/>
            <w:hideMark/>
          </w:tcPr>
          <w:p w14:paraId="1A60B202"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247</w:t>
            </w:r>
          </w:p>
        </w:tc>
        <w:tc>
          <w:tcPr>
            <w:tcW w:w="325" w:type="pct"/>
            <w:shd w:val="clear" w:color="auto" w:fill="E7E6E6" w:themeFill="background2"/>
            <w:vAlign w:val="center"/>
            <w:hideMark/>
          </w:tcPr>
          <w:p w14:paraId="0A99BD50"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51" w:type="pct"/>
            <w:shd w:val="clear" w:color="auto" w:fill="E7E6E6" w:themeFill="background2"/>
            <w:vAlign w:val="center"/>
            <w:hideMark/>
          </w:tcPr>
          <w:p w14:paraId="47005D96"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551</w:t>
            </w:r>
          </w:p>
        </w:tc>
        <w:tc>
          <w:tcPr>
            <w:tcW w:w="322" w:type="pct"/>
            <w:shd w:val="clear" w:color="auto" w:fill="E7E6E6" w:themeFill="background2"/>
            <w:vAlign w:val="center"/>
            <w:hideMark/>
          </w:tcPr>
          <w:p w14:paraId="74130DD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30</w:t>
            </w:r>
          </w:p>
        </w:tc>
        <w:tc>
          <w:tcPr>
            <w:tcW w:w="382" w:type="pct"/>
            <w:shd w:val="clear" w:color="auto" w:fill="E7E6E6" w:themeFill="background2"/>
            <w:vAlign w:val="center"/>
            <w:hideMark/>
          </w:tcPr>
          <w:p w14:paraId="1A061253"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75F9B65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43</w:t>
            </w:r>
          </w:p>
        </w:tc>
        <w:tc>
          <w:tcPr>
            <w:tcW w:w="240" w:type="pct"/>
            <w:shd w:val="clear" w:color="auto" w:fill="E7E6E6" w:themeFill="background2"/>
            <w:vAlign w:val="center"/>
            <w:hideMark/>
          </w:tcPr>
          <w:p w14:paraId="07D43C2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28</w:t>
            </w:r>
          </w:p>
        </w:tc>
        <w:tc>
          <w:tcPr>
            <w:tcW w:w="240" w:type="pct"/>
            <w:shd w:val="clear" w:color="auto" w:fill="E7E6E6" w:themeFill="background2"/>
            <w:vAlign w:val="center"/>
            <w:hideMark/>
          </w:tcPr>
          <w:p w14:paraId="7414B8BF"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77</w:t>
            </w:r>
          </w:p>
        </w:tc>
        <w:tc>
          <w:tcPr>
            <w:tcW w:w="272" w:type="pct"/>
            <w:shd w:val="clear" w:color="auto" w:fill="E7E6E6" w:themeFill="background2"/>
            <w:vAlign w:val="center"/>
            <w:hideMark/>
          </w:tcPr>
          <w:p w14:paraId="5A007F0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433</w:t>
            </w:r>
          </w:p>
        </w:tc>
      </w:tr>
      <w:tr w:rsidR="00BC049D" w:rsidRPr="007D3D4F" w14:paraId="129100ED" w14:textId="77777777" w:rsidTr="00BC049D">
        <w:trPr>
          <w:jc w:val="center"/>
        </w:trPr>
        <w:tc>
          <w:tcPr>
            <w:tcW w:w="824" w:type="pct"/>
            <w:shd w:val="clear" w:color="auto" w:fill="E7E6E6" w:themeFill="background2"/>
            <w:vAlign w:val="center"/>
            <w:hideMark/>
          </w:tcPr>
          <w:p w14:paraId="2A66A05A" w14:textId="75760E9C"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t xml:space="preserve">Autovehicule transport </w:t>
            </w:r>
            <w:r w:rsidR="00BC049D" w:rsidRPr="007D3D4F">
              <w:rPr>
                <w:rFonts w:ascii="Times New Roman" w:eastAsia="Times New Roman" w:hAnsi="Times New Roman" w:cs="Times New Roman"/>
                <w:b/>
                <w:bCs/>
                <w:color w:val="000000"/>
                <w:kern w:val="0"/>
                <w:sz w:val="20"/>
                <w:szCs w:val="20"/>
                <w:lang w:eastAsia="en-GB"/>
                <w14:ligatures w14:val="none"/>
              </w:rPr>
              <w:t>mărfuri</w:t>
            </w:r>
            <w:r w:rsidRPr="007D3D4F">
              <w:rPr>
                <w:rFonts w:ascii="Times New Roman" w:eastAsia="Times New Roman" w:hAnsi="Times New Roman" w:cs="Times New Roman"/>
                <w:b/>
                <w:bCs/>
                <w:color w:val="000000"/>
                <w:kern w:val="0"/>
                <w:sz w:val="20"/>
                <w:szCs w:val="20"/>
                <w:lang w:eastAsia="en-GB"/>
                <w14:ligatures w14:val="none"/>
              </w:rPr>
              <w:t xml:space="preserve"> (N), </w:t>
            </w:r>
            <w:r w:rsidR="00BC049D" w:rsidRPr="007D3D4F">
              <w:rPr>
                <w:rFonts w:ascii="Times New Roman" w:eastAsia="Times New Roman" w:hAnsi="Times New Roman" w:cs="Times New Roman"/>
                <w:b/>
                <w:bCs/>
                <w:color w:val="000000"/>
                <w:kern w:val="0"/>
                <w:sz w:val="20"/>
                <w:szCs w:val="20"/>
                <w:lang w:eastAsia="en-GB"/>
                <w14:ligatures w14:val="none"/>
              </w:rPr>
              <w:t>fără</w:t>
            </w:r>
            <w:r w:rsidRPr="007D3D4F">
              <w:rPr>
                <w:rFonts w:ascii="Times New Roman" w:eastAsia="Times New Roman" w:hAnsi="Times New Roman" w:cs="Times New Roman"/>
                <w:b/>
                <w:bCs/>
                <w:color w:val="000000"/>
                <w:kern w:val="0"/>
                <w:sz w:val="20"/>
                <w:szCs w:val="20"/>
                <w:lang w:eastAsia="en-GB"/>
                <w14:ligatures w14:val="none"/>
              </w:rPr>
              <w:t xml:space="preserve"> autotractoare   </w:t>
            </w:r>
          </w:p>
        </w:tc>
        <w:tc>
          <w:tcPr>
            <w:tcW w:w="271" w:type="pct"/>
            <w:shd w:val="clear" w:color="auto" w:fill="E7E6E6" w:themeFill="background2"/>
            <w:vAlign w:val="center"/>
            <w:hideMark/>
          </w:tcPr>
          <w:p w14:paraId="3E226168" w14:textId="1CC8111F"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112</w:t>
            </w:r>
          </w:p>
        </w:tc>
        <w:tc>
          <w:tcPr>
            <w:tcW w:w="239" w:type="pct"/>
            <w:shd w:val="clear" w:color="auto" w:fill="E7E6E6" w:themeFill="background2"/>
            <w:vAlign w:val="center"/>
            <w:hideMark/>
          </w:tcPr>
          <w:p w14:paraId="47FF9BE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89</w:t>
            </w:r>
          </w:p>
        </w:tc>
        <w:tc>
          <w:tcPr>
            <w:tcW w:w="239" w:type="pct"/>
            <w:shd w:val="clear" w:color="auto" w:fill="E7E6E6" w:themeFill="background2"/>
            <w:vAlign w:val="center"/>
            <w:hideMark/>
          </w:tcPr>
          <w:p w14:paraId="340D1E46"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227</w:t>
            </w:r>
          </w:p>
        </w:tc>
        <w:tc>
          <w:tcPr>
            <w:tcW w:w="240" w:type="pct"/>
            <w:shd w:val="clear" w:color="auto" w:fill="E7E6E6" w:themeFill="background2"/>
            <w:vAlign w:val="center"/>
            <w:hideMark/>
          </w:tcPr>
          <w:p w14:paraId="764F3B18"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765</w:t>
            </w:r>
          </w:p>
        </w:tc>
        <w:tc>
          <w:tcPr>
            <w:tcW w:w="272" w:type="pct"/>
            <w:shd w:val="clear" w:color="auto" w:fill="E7E6E6" w:themeFill="background2"/>
            <w:vAlign w:val="center"/>
            <w:hideMark/>
          </w:tcPr>
          <w:p w14:paraId="589AF57D" w14:textId="42459EB0"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041</w:t>
            </w:r>
          </w:p>
        </w:tc>
        <w:tc>
          <w:tcPr>
            <w:tcW w:w="272" w:type="pct"/>
            <w:shd w:val="clear" w:color="auto" w:fill="E7E6E6" w:themeFill="background2"/>
            <w:vAlign w:val="center"/>
            <w:hideMark/>
          </w:tcPr>
          <w:p w14:paraId="4BC89A4B" w14:textId="03E5AA45"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932</w:t>
            </w:r>
          </w:p>
        </w:tc>
        <w:tc>
          <w:tcPr>
            <w:tcW w:w="272" w:type="pct"/>
            <w:shd w:val="clear" w:color="auto" w:fill="E7E6E6" w:themeFill="background2"/>
            <w:vAlign w:val="center"/>
            <w:hideMark/>
          </w:tcPr>
          <w:p w14:paraId="69D41FF0" w14:textId="1CC1D4DD"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058</w:t>
            </w:r>
          </w:p>
        </w:tc>
        <w:tc>
          <w:tcPr>
            <w:tcW w:w="325" w:type="pct"/>
            <w:shd w:val="clear" w:color="auto" w:fill="E7E6E6" w:themeFill="background2"/>
            <w:vAlign w:val="center"/>
            <w:hideMark/>
          </w:tcPr>
          <w:p w14:paraId="09DA1B39" w14:textId="530FD3D0"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206</w:t>
            </w:r>
          </w:p>
        </w:tc>
        <w:tc>
          <w:tcPr>
            <w:tcW w:w="351" w:type="pct"/>
            <w:shd w:val="clear" w:color="auto" w:fill="E7E6E6" w:themeFill="background2"/>
            <w:vAlign w:val="center"/>
            <w:hideMark/>
          </w:tcPr>
          <w:p w14:paraId="0F5315CE" w14:textId="213DAEE0"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891</w:t>
            </w:r>
          </w:p>
        </w:tc>
        <w:tc>
          <w:tcPr>
            <w:tcW w:w="322" w:type="pct"/>
            <w:shd w:val="clear" w:color="auto" w:fill="E7E6E6" w:themeFill="background2"/>
            <w:vAlign w:val="center"/>
            <w:hideMark/>
          </w:tcPr>
          <w:p w14:paraId="017826E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w:t>
            </w:r>
          </w:p>
        </w:tc>
        <w:tc>
          <w:tcPr>
            <w:tcW w:w="382" w:type="pct"/>
            <w:shd w:val="clear" w:color="auto" w:fill="E7E6E6" w:themeFill="background2"/>
            <w:vAlign w:val="center"/>
            <w:hideMark/>
          </w:tcPr>
          <w:p w14:paraId="79782B33"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p>
        </w:tc>
        <w:tc>
          <w:tcPr>
            <w:tcW w:w="240" w:type="pct"/>
            <w:shd w:val="clear" w:color="auto" w:fill="E7E6E6" w:themeFill="background2"/>
            <w:vAlign w:val="center"/>
            <w:hideMark/>
          </w:tcPr>
          <w:p w14:paraId="121E3CD7"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219</w:t>
            </w:r>
          </w:p>
        </w:tc>
        <w:tc>
          <w:tcPr>
            <w:tcW w:w="240" w:type="pct"/>
            <w:shd w:val="clear" w:color="auto" w:fill="E7E6E6" w:themeFill="background2"/>
            <w:vAlign w:val="center"/>
            <w:hideMark/>
          </w:tcPr>
          <w:p w14:paraId="2D10C61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557</w:t>
            </w:r>
          </w:p>
        </w:tc>
        <w:tc>
          <w:tcPr>
            <w:tcW w:w="240" w:type="pct"/>
            <w:shd w:val="clear" w:color="auto" w:fill="E7E6E6" w:themeFill="background2"/>
            <w:vAlign w:val="center"/>
            <w:hideMark/>
          </w:tcPr>
          <w:p w14:paraId="778D47B5"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599</w:t>
            </w:r>
          </w:p>
        </w:tc>
        <w:tc>
          <w:tcPr>
            <w:tcW w:w="272" w:type="pct"/>
            <w:shd w:val="clear" w:color="auto" w:fill="E7E6E6" w:themeFill="background2"/>
            <w:vAlign w:val="center"/>
            <w:hideMark/>
          </w:tcPr>
          <w:p w14:paraId="0204F0A8" w14:textId="566A98D2"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737</w:t>
            </w:r>
          </w:p>
        </w:tc>
      </w:tr>
      <w:tr w:rsidR="00BC049D" w:rsidRPr="007D3D4F" w14:paraId="3FD5296A" w14:textId="77777777" w:rsidTr="00BC049D">
        <w:trPr>
          <w:jc w:val="center"/>
        </w:trPr>
        <w:tc>
          <w:tcPr>
            <w:tcW w:w="824" w:type="pct"/>
            <w:shd w:val="clear" w:color="auto" w:fill="E7E6E6" w:themeFill="background2"/>
            <w:vAlign w:val="center"/>
            <w:hideMark/>
          </w:tcPr>
          <w:p w14:paraId="5FDD37CD" w14:textId="77777777"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t>Autotractoare (N)   </w:t>
            </w:r>
          </w:p>
        </w:tc>
        <w:tc>
          <w:tcPr>
            <w:tcW w:w="271" w:type="pct"/>
            <w:shd w:val="clear" w:color="auto" w:fill="E7E6E6" w:themeFill="background2"/>
            <w:vAlign w:val="center"/>
            <w:hideMark/>
          </w:tcPr>
          <w:p w14:paraId="44B28AB0" w14:textId="52759B23"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436</w:t>
            </w:r>
          </w:p>
        </w:tc>
        <w:tc>
          <w:tcPr>
            <w:tcW w:w="239" w:type="pct"/>
            <w:shd w:val="clear" w:color="auto" w:fill="E7E6E6" w:themeFill="background2"/>
            <w:vAlign w:val="center"/>
            <w:hideMark/>
          </w:tcPr>
          <w:p w14:paraId="107F6C44"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54</w:t>
            </w:r>
          </w:p>
        </w:tc>
        <w:tc>
          <w:tcPr>
            <w:tcW w:w="239" w:type="pct"/>
            <w:shd w:val="clear" w:color="auto" w:fill="E7E6E6" w:themeFill="background2"/>
            <w:vAlign w:val="center"/>
            <w:hideMark/>
          </w:tcPr>
          <w:p w14:paraId="03691684"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75</w:t>
            </w:r>
          </w:p>
        </w:tc>
        <w:tc>
          <w:tcPr>
            <w:tcW w:w="240" w:type="pct"/>
            <w:shd w:val="clear" w:color="auto" w:fill="E7E6E6" w:themeFill="background2"/>
            <w:vAlign w:val="center"/>
            <w:hideMark/>
          </w:tcPr>
          <w:p w14:paraId="71918710"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307</w:t>
            </w:r>
          </w:p>
        </w:tc>
        <w:tc>
          <w:tcPr>
            <w:tcW w:w="272" w:type="pct"/>
            <w:shd w:val="clear" w:color="auto" w:fill="E7E6E6" w:themeFill="background2"/>
            <w:vAlign w:val="center"/>
            <w:hideMark/>
          </w:tcPr>
          <w:p w14:paraId="76F76B18"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401</w:t>
            </w:r>
          </w:p>
        </w:tc>
        <w:tc>
          <w:tcPr>
            <w:tcW w:w="272" w:type="pct"/>
            <w:shd w:val="clear" w:color="auto" w:fill="E7E6E6" w:themeFill="background2"/>
            <w:vAlign w:val="center"/>
            <w:hideMark/>
          </w:tcPr>
          <w:p w14:paraId="0CD46258"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322</w:t>
            </w:r>
          </w:p>
        </w:tc>
        <w:tc>
          <w:tcPr>
            <w:tcW w:w="272" w:type="pct"/>
            <w:shd w:val="clear" w:color="auto" w:fill="E7E6E6" w:themeFill="background2"/>
            <w:vAlign w:val="center"/>
            <w:hideMark/>
          </w:tcPr>
          <w:p w14:paraId="4ACD8FB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277</w:t>
            </w:r>
          </w:p>
        </w:tc>
        <w:tc>
          <w:tcPr>
            <w:tcW w:w="325" w:type="pct"/>
            <w:shd w:val="clear" w:color="auto" w:fill="E7E6E6" w:themeFill="background2"/>
            <w:vAlign w:val="center"/>
            <w:hideMark/>
          </w:tcPr>
          <w:p w14:paraId="4B0FB088"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51" w:type="pct"/>
            <w:shd w:val="clear" w:color="auto" w:fill="E7E6E6" w:themeFill="background2"/>
            <w:vAlign w:val="center"/>
            <w:hideMark/>
          </w:tcPr>
          <w:p w14:paraId="33F422B4" w14:textId="0A1C5368"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436</w:t>
            </w:r>
          </w:p>
        </w:tc>
        <w:tc>
          <w:tcPr>
            <w:tcW w:w="322" w:type="pct"/>
            <w:shd w:val="clear" w:color="auto" w:fill="E7E6E6" w:themeFill="background2"/>
            <w:vAlign w:val="center"/>
            <w:hideMark/>
          </w:tcPr>
          <w:p w14:paraId="37E4304D"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82" w:type="pct"/>
            <w:shd w:val="clear" w:color="auto" w:fill="E7E6E6" w:themeFill="background2"/>
            <w:vAlign w:val="center"/>
            <w:hideMark/>
          </w:tcPr>
          <w:p w14:paraId="481DDCC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3CAC94B7"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114</w:t>
            </w:r>
          </w:p>
        </w:tc>
        <w:tc>
          <w:tcPr>
            <w:tcW w:w="240" w:type="pct"/>
            <w:shd w:val="clear" w:color="auto" w:fill="E7E6E6" w:themeFill="background2"/>
            <w:vAlign w:val="center"/>
            <w:hideMark/>
          </w:tcPr>
          <w:p w14:paraId="43D20E1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117</w:t>
            </w:r>
          </w:p>
        </w:tc>
        <w:tc>
          <w:tcPr>
            <w:tcW w:w="240" w:type="pct"/>
            <w:shd w:val="clear" w:color="auto" w:fill="E7E6E6" w:themeFill="background2"/>
            <w:vAlign w:val="center"/>
            <w:hideMark/>
          </w:tcPr>
          <w:p w14:paraId="6C7276F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361</w:t>
            </w:r>
          </w:p>
        </w:tc>
        <w:tc>
          <w:tcPr>
            <w:tcW w:w="272" w:type="pct"/>
            <w:shd w:val="clear" w:color="auto" w:fill="E7E6E6" w:themeFill="background2"/>
            <w:vAlign w:val="center"/>
            <w:hideMark/>
          </w:tcPr>
          <w:p w14:paraId="7E4BDFC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844</w:t>
            </w:r>
          </w:p>
        </w:tc>
      </w:tr>
      <w:tr w:rsidR="00BC049D" w:rsidRPr="007D3D4F" w14:paraId="1E49102D" w14:textId="77777777" w:rsidTr="00BC049D">
        <w:trPr>
          <w:jc w:val="center"/>
        </w:trPr>
        <w:tc>
          <w:tcPr>
            <w:tcW w:w="824" w:type="pct"/>
            <w:shd w:val="clear" w:color="auto" w:fill="E7E6E6" w:themeFill="background2"/>
            <w:vAlign w:val="center"/>
            <w:hideMark/>
          </w:tcPr>
          <w:p w14:paraId="6FA2AA09" w14:textId="77777777"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t>Semiremorci   </w:t>
            </w:r>
          </w:p>
        </w:tc>
        <w:tc>
          <w:tcPr>
            <w:tcW w:w="271" w:type="pct"/>
            <w:shd w:val="clear" w:color="auto" w:fill="E7E6E6" w:themeFill="background2"/>
            <w:vAlign w:val="center"/>
            <w:hideMark/>
          </w:tcPr>
          <w:p w14:paraId="4E621600" w14:textId="1840D44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475</w:t>
            </w:r>
          </w:p>
        </w:tc>
        <w:tc>
          <w:tcPr>
            <w:tcW w:w="239" w:type="pct"/>
            <w:shd w:val="clear" w:color="auto" w:fill="E7E6E6" w:themeFill="background2"/>
            <w:vAlign w:val="center"/>
            <w:hideMark/>
          </w:tcPr>
          <w:p w14:paraId="23F2EC3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79</w:t>
            </w:r>
          </w:p>
        </w:tc>
        <w:tc>
          <w:tcPr>
            <w:tcW w:w="239" w:type="pct"/>
            <w:shd w:val="clear" w:color="auto" w:fill="E7E6E6" w:themeFill="background2"/>
            <w:vAlign w:val="center"/>
            <w:hideMark/>
          </w:tcPr>
          <w:p w14:paraId="395D019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236</w:t>
            </w:r>
          </w:p>
        </w:tc>
        <w:tc>
          <w:tcPr>
            <w:tcW w:w="240" w:type="pct"/>
            <w:shd w:val="clear" w:color="auto" w:fill="E7E6E6" w:themeFill="background2"/>
            <w:vAlign w:val="center"/>
            <w:hideMark/>
          </w:tcPr>
          <w:p w14:paraId="401341F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213</w:t>
            </w:r>
          </w:p>
        </w:tc>
        <w:tc>
          <w:tcPr>
            <w:tcW w:w="272" w:type="pct"/>
            <w:shd w:val="clear" w:color="auto" w:fill="E7E6E6" w:themeFill="background2"/>
            <w:vAlign w:val="center"/>
            <w:hideMark/>
          </w:tcPr>
          <w:p w14:paraId="3DD5A1F4"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149</w:t>
            </w:r>
          </w:p>
        </w:tc>
        <w:tc>
          <w:tcPr>
            <w:tcW w:w="272" w:type="pct"/>
            <w:shd w:val="clear" w:color="auto" w:fill="E7E6E6" w:themeFill="background2"/>
            <w:vAlign w:val="center"/>
            <w:hideMark/>
          </w:tcPr>
          <w:p w14:paraId="47B2DA98"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354</w:t>
            </w:r>
          </w:p>
        </w:tc>
        <w:tc>
          <w:tcPr>
            <w:tcW w:w="272" w:type="pct"/>
            <w:shd w:val="clear" w:color="auto" w:fill="E7E6E6" w:themeFill="background2"/>
            <w:vAlign w:val="center"/>
            <w:hideMark/>
          </w:tcPr>
          <w:p w14:paraId="3378C19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444</w:t>
            </w:r>
          </w:p>
        </w:tc>
        <w:tc>
          <w:tcPr>
            <w:tcW w:w="325" w:type="pct"/>
            <w:shd w:val="clear" w:color="auto" w:fill="E7E6E6" w:themeFill="background2"/>
            <w:vAlign w:val="center"/>
            <w:hideMark/>
          </w:tcPr>
          <w:p w14:paraId="3AA7F64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51" w:type="pct"/>
            <w:shd w:val="clear" w:color="auto" w:fill="E7E6E6" w:themeFill="background2"/>
            <w:vAlign w:val="center"/>
            <w:hideMark/>
          </w:tcPr>
          <w:p w14:paraId="589EF620"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22" w:type="pct"/>
            <w:shd w:val="clear" w:color="auto" w:fill="E7E6E6" w:themeFill="background2"/>
            <w:vAlign w:val="center"/>
            <w:hideMark/>
          </w:tcPr>
          <w:p w14:paraId="655513A6"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82" w:type="pct"/>
            <w:shd w:val="clear" w:color="auto" w:fill="E7E6E6" w:themeFill="background2"/>
            <w:vAlign w:val="center"/>
            <w:hideMark/>
          </w:tcPr>
          <w:p w14:paraId="0BDFA1F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1D5578B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269</w:t>
            </w:r>
          </w:p>
        </w:tc>
        <w:tc>
          <w:tcPr>
            <w:tcW w:w="240" w:type="pct"/>
            <w:shd w:val="clear" w:color="auto" w:fill="E7E6E6" w:themeFill="background2"/>
            <w:vAlign w:val="center"/>
            <w:hideMark/>
          </w:tcPr>
          <w:p w14:paraId="7303F0B8"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183</w:t>
            </w:r>
          </w:p>
        </w:tc>
        <w:tc>
          <w:tcPr>
            <w:tcW w:w="240" w:type="pct"/>
            <w:shd w:val="clear" w:color="auto" w:fill="E7E6E6" w:themeFill="background2"/>
            <w:vAlign w:val="center"/>
            <w:hideMark/>
          </w:tcPr>
          <w:p w14:paraId="7936BB8D"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141</w:t>
            </w:r>
          </w:p>
        </w:tc>
        <w:tc>
          <w:tcPr>
            <w:tcW w:w="272" w:type="pct"/>
            <w:shd w:val="clear" w:color="auto" w:fill="E7E6E6" w:themeFill="background2"/>
            <w:vAlign w:val="center"/>
            <w:hideMark/>
          </w:tcPr>
          <w:p w14:paraId="43C6020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882</w:t>
            </w:r>
          </w:p>
        </w:tc>
      </w:tr>
      <w:tr w:rsidR="00BC049D" w:rsidRPr="007D3D4F" w14:paraId="77E174FD" w14:textId="77777777" w:rsidTr="00BC049D">
        <w:trPr>
          <w:jc w:val="center"/>
        </w:trPr>
        <w:tc>
          <w:tcPr>
            <w:tcW w:w="824" w:type="pct"/>
            <w:shd w:val="clear" w:color="auto" w:fill="E7E6E6" w:themeFill="background2"/>
            <w:vAlign w:val="center"/>
            <w:hideMark/>
          </w:tcPr>
          <w:p w14:paraId="73FE6051" w14:textId="77777777"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t>Remorci   </w:t>
            </w:r>
          </w:p>
        </w:tc>
        <w:tc>
          <w:tcPr>
            <w:tcW w:w="271" w:type="pct"/>
            <w:shd w:val="clear" w:color="auto" w:fill="E7E6E6" w:themeFill="background2"/>
            <w:vAlign w:val="center"/>
            <w:hideMark/>
          </w:tcPr>
          <w:p w14:paraId="00C1F8B1" w14:textId="7BB86550"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881</w:t>
            </w:r>
          </w:p>
        </w:tc>
        <w:tc>
          <w:tcPr>
            <w:tcW w:w="239" w:type="pct"/>
            <w:shd w:val="clear" w:color="auto" w:fill="E7E6E6" w:themeFill="background2"/>
            <w:vAlign w:val="center"/>
            <w:hideMark/>
          </w:tcPr>
          <w:p w14:paraId="2C6E5C1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490</w:t>
            </w:r>
          </w:p>
        </w:tc>
        <w:tc>
          <w:tcPr>
            <w:tcW w:w="239" w:type="pct"/>
            <w:shd w:val="clear" w:color="auto" w:fill="E7E6E6" w:themeFill="background2"/>
            <w:vAlign w:val="center"/>
            <w:hideMark/>
          </w:tcPr>
          <w:p w14:paraId="20D0BF1F"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695</w:t>
            </w:r>
          </w:p>
        </w:tc>
        <w:tc>
          <w:tcPr>
            <w:tcW w:w="240" w:type="pct"/>
            <w:shd w:val="clear" w:color="auto" w:fill="E7E6E6" w:themeFill="background2"/>
            <w:vAlign w:val="center"/>
            <w:hideMark/>
          </w:tcPr>
          <w:p w14:paraId="0340CD8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924</w:t>
            </w:r>
          </w:p>
        </w:tc>
        <w:tc>
          <w:tcPr>
            <w:tcW w:w="272" w:type="pct"/>
            <w:shd w:val="clear" w:color="auto" w:fill="E7E6E6" w:themeFill="background2"/>
            <w:vAlign w:val="center"/>
            <w:hideMark/>
          </w:tcPr>
          <w:p w14:paraId="6819C49D"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481</w:t>
            </w:r>
          </w:p>
        </w:tc>
        <w:tc>
          <w:tcPr>
            <w:tcW w:w="272" w:type="pct"/>
            <w:shd w:val="clear" w:color="auto" w:fill="E7E6E6" w:themeFill="background2"/>
            <w:vAlign w:val="center"/>
            <w:hideMark/>
          </w:tcPr>
          <w:p w14:paraId="3F98BA4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433</w:t>
            </w:r>
          </w:p>
        </w:tc>
        <w:tc>
          <w:tcPr>
            <w:tcW w:w="272" w:type="pct"/>
            <w:shd w:val="clear" w:color="auto" w:fill="E7E6E6" w:themeFill="background2"/>
            <w:vAlign w:val="center"/>
            <w:hideMark/>
          </w:tcPr>
          <w:p w14:paraId="61300D6A" w14:textId="6C13B88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858</w:t>
            </w:r>
          </w:p>
        </w:tc>
        <w:tc>
          <w:tcPr>
            <w:tcW w:w="325" w:type="pct"/>
            <w:shd w:val="clear" w:color="auto" w:fill="E7E6E6" w:themeFill="background2"/>
            <w:vAlign w:val="center"/>
            <w:hideMark/>
          </w:tcPr>
          <w:p w14:paraId="0B7F7580"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51" w:type="pct"/>
            <w:shd w:val="clear" w:color="auto" w:fill="E7E6E6" w:themeFill="background2"/>
            <w:vAlign w:val="center"/>
            <w:hideMark/>
          </w:tcPr>
          <w:p w14:paraId="33CB68BF"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22" w:type="pct"/>
            <w:shd w:val="clear" w:color="auto" w:fill="E7E6E6" w:themeFill="background2"/>
            <w:vAlign w:val="center"/>
            <w:hideMark/>
          </w:tcPr>
          <w:p w14:paraId="1D7E388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82" w:type="pct"/>
            <w:shd w:val="clear" w:color="auto" w:fill="E7E6E6" w:themeFill="background2"/>
            <w:vAlign w:val="center"/>
            <w:hideMark/>
          </w:tcPr>
          <w:p w14:paraId="0E4BAEBF"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087B9A1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946</w:t>
            </w:r>
          </w:p>
        </w:tc>
        <w:tc>
          <w:tcPr>
            <w:tcW w:w="240" w:type="pct"/>
            <w:shd w:val="clear" w:color="auto" w:fill="E7E6E6" w:themeFill="background2"/>
            <w:vAlign w:val="center"/>
            <w:hideMark/>
          </w:tcPr>
          <w:p w14:paraId="08D37A37"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866</w:t>
            </w:r>
          </w:p>
        </w:tc>
        <w:tc>
          <w:tcPr>
            <w:tcW w:w="240" w:type="pct"/>
            <w:shd w:val="clear" w:color="auto" w:fill="E7E6E6" w:themeFill="background2"/>
            <w:vAlign w:val="center"/>
            <w:hideMark/>
          </w:tcPr>
          <w:p w14:paraId="34044E3F"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511</w:t>
            </w:r>
          </w:p>
        </w:tc>
        <w:tc>
          <w:tcPr>
            <w:tcW w:w="272" w:type="pct"/>
            <w:shd w:val="clear" w:color="auto" w:fill="E7E6E6" w:themeFill="background2"/>
            <w:vAlign w:val="center"/>
            <w:hideMark/>
          </w:tcPr>
          <w:p w14:paraId="243A9E8E" w14:textId="4B9B06A8"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w:t>
            </w:r>
            <w:r w:rsidR="007C2554" w:rsidRPr="007D3D4F">
              <w:rPr>
                <w:rFonts w:ascii="Times New Roman" w:eastAsia="Times New Roman" w:hAnsi="Times New Roman" w:cs="Times New Roman"/>
                <w:color w:val="000000"/>
                <w:kern w:val="0"/>
                <w:sz w:val="20"/>
                <w:szCs w:val="20"/>
                <w:lang w:eastAsia="en-GB"/>
                <w14:ligatures w14:val="none"/>
              </w:rPr>
              <w:t>.</w:t>
            </w:r>
            <w:r w:rsidRPr="007D3D4F">
              <w:rPr>
                <w:rFonts w:ascii="Times New Roman" w:eastAsia="Times New Roman" w:hAnsi="Times New Roman" w:cs="Times New Roman"/>
                <w:color w:val="000000"/>
                <w:kern w:val="0"/>
                <w:sz w:val="20"/>
                <w:szCs w:val="20"/>
                <w:lang w:eastAsia="en-GB"/>
                <w14:ligatures w14:val="none"/>
              </w:rPr>
              <w:t>558</w:t>
            </w:r>
          </w:p>
        </w:tc>
      </w:tr>
      <w:tr w:rsidR="00BC049D" w:rsidRPr="007D3D4F" w14:paraId="0FDD9838" w14:textId="77777777" w:rsidTr="00BC049D">
        <w:trPr>
          <w:jc w:val="center"/>
        </w:trPr>
        <w:tc>
          <w:tcPr>
            <w:tcW w:w="824" w:type="pct"/>
            <w:shd w:val="clear" w:color="auto" w:fill="E7E6E6" w:themeFill="background2"/>
            <w:vAlign w:val="center"/>
            <w:hideMark/>
          </w:tcPr>
          <w:p w14:paraId="1F521216" w14:textId="77777777"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lastRenderedPageBreak/>
              <w:t>Vehicule pentru scopuri speciale   </w:t>
            </w:r>
          </w:p>
        </w:tc>
        <w:tc>
          <w:tcPr>
            <w:tcW w:w="271" w:type="pct"/>
            <w:shd w:val="clear" w:color="auto" w:fill="E7E6E6" w:themeFill="background2"/>
            <w:vAlign w:val="center"/>
            <w:hideMark/>
          </w:tcPr>
          <w:p w14:paraId="2A8C995B"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577</w:t>
            </w:r>
          </w:p>
        </w:tc>
        <w:tc>
          <w:tcPr>
            <w:tcW w:w="239" w:type="pct"/>
            <w:shd w:val="clear" w:color="auto" w:fill="E7E6E6" w:themeFill="background2"/>
            <w:vAlign w:val="center"/>
            <w:hideMark/>
          </w:tcPr>
          <w:p w14:paraId="6EE3F6D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18</w:t>
            </w:r>
          </w:p>
        </w:tc>
        <w:tc>
          <w:tcPr>
            <w:tcW w:w="239" w:type="pct"/>
            <w:shd w:val="clear" w:color="auto" w:fill="E7E6E6" w:themeFill="background2"/>
            <w:vAlign w:val="center"/>
            <w:hideMark/>
          </w:tcPr>
          <w:p w14:paraId="3A81C4E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46</w:t>
            </w:r>
          </w:p>
        </w:tc>
        <w:tc>
          <w:tcPr>
            <w:tcW w:w="240" w:type="pct"/>
            <w:shd w:val="clear" w:color="auto" w:fill="E7E6E6" w:themeFill="background2"/>
            <w:vAlign w:val="center"/>
            <w:hideMark/>
          </w:tcPr>
          <w:p w14:paraId="1F6C1602"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40</w:t>
            </w:r>
          </w:p>
        </w:tc>
        <w:tc>
          <w:tcPr>
            <w:tcW w:w="272" w:type="pct"/>
            <w:shd w:val="clear" w:color="auto" w:fill="E7E6E6" w:themeFill="background2"/>
            <w:vAlign w:val="center"/>
            <w:hideMark/>
          </w:tcPr>
          <w:p w14:paraId="10950BC4"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52</w:t>
            </w:r>
          </w:p>
        </w:tc>
        <w:tc>
          <w:tcPr>
            <w:tcW w:w="272" w:type="pct"/>
            <w:shd w:val="clear" w:color="auto" w:fill="E7E6E6" w:themeFill="background2"/>
            <w:vAlign w:val="center"/>
            <w:hideMark/>
          </w:tcPr>
          <w:p w14:paraId="40F12B28"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113</w:t>
            </w:r>
          </w:p>
        </w:tc>
        <w:tc>
          <w:tcPr>
            <w:tcW w:w="272" w:type="pct"/>
            <w:shd w:val="clear" w:color="auto" w:fill="E7E6E6" w:themeFill="background2"/>
            <w:vAlign w:val="center"/>
            <w:hideMark/>
          </w:tcPr>
          <w:p w14:paraId="7F1165E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308</w:t>
            </w:r>
          </w:p>
        </w:tc>
        <w:tc>
          <w:tcPr>
            <w:tcW w:w="325" w:type="pct"/>
            <w:shd w:val="clear" w:color="auto" w:fill="E7E6E6" w:themeFill="background2"/>
            <w:vAlign w:val="center"/>
            <w:hideMark/>
          </w:tcPr>
          <w:p w14:paraId="597F8751"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32</w:t>
            </w:r>
          </w:p>
        </w:tc>
        <w:tc>
          <w:tcPr>
            <w:tcW w:w="351" w:type="pct"/>
            <w:shd w:val="clear" w:color="auto" w:fill="E7E6E6" w:themeFill="background2"/>
            <w:vAlign w:val="center"/>
            <w:hideMark/>
          </w:tcPr>
          <w:p w14:paraId="0C770904"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544</w:t>
            </w:r>
          </w:p>
        </w:tc>
        <w:tc>
          <w:tcPr>
            <w:tcW w:w="322" w:type="pct"/>
            <w:shd w:val="clear" w:color="auto" w:fill="E7E6E6" w:themeFill="background2"/>
            <w:vAlign w:val="center"/>
            <w:hideMark/>
          </w:tcPr>
          <w:p w14:paraId="4DA1A915"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82" w:type="pct"/>
            <w:shd w:val="clear" w:color="auto" w:fill="E7E6E6" w:themeFill="background2"/>
            <w:vAlign w:val="center"/>
            <w:hideMark/>
          </w:tcPr>
          <w:p w14:paraId="4DE0612C"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33FCA6F5"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40</w:t>
            </w:r>
          </w:p>
        </w:tc>
        <w:tc>
          <w:tcPr>
            <w:tcW w:w="240" w:type="pct"/>
            <w:shd w:val="clear" w:color="auto" w:fill="E7E6E6" w:themeFill="background2"/>
            <w:vAlign w:val="center"/>
            <w:hideMark/>
          </w:tcPr>
          <w:p w14:paraId="7E9DD3E6"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53</w:t>
            </w:r>
          </w:p>
        </w:tc>
        <w:tc>
          <w:tcPr>
            <w:tcW w:w="240" w:type="pct"/>
            <w:shd w:val="clear" w:color="auto" w:fill="E7E6E6" w:themeFill="background2"/>
            <w:vAlign w:val="center"/>
            <w:hideMark/>
          </w:tcPr>
          <w:p w14:paraId="07D72907"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29</w:t>
            </w:r>
          </w:p>
        </w:tc>
        <w:tc>
          <w:tcPr>
            <w:tcW w:w="272" w:type="pct"/>
            <w:shd w:val="clear" w:color="auto" w:fill="E7E6E6" w:themeFill="background2"/>
            <w:vAlign w:val="center"/>
            <w:hideMark/>
          </w:tcPr>
          <w:p w14:paraId="644D986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455</w:t>
            </w:r>
          </w:p>
        </w:tc>
      </w:tr>
      <w:tr w:rsidR="00BC049D" w:rsidRPr="007D3D4F" w14:paraId="3150B0D2" w14:textId="77777777" w:rsidTr="00BC049D">
        <w:trPr>
          <w:jc w:val="center"/>
        </w:trPr>
        <w:tc>
          <w:tcPr>
            <w:tcW w:w="824" w:type="pct"/>
            <w:shd w:val="clear" w:color="auto" w:fill="E7E6E6" w:themeFill="background2"/>
            <w:vAlign w:val="center"/>
            <w:hideMark/>
          </w:tcPr>
          <w:p w14:paraId="4325512B" w14:textId="0FB8D279" w:rsidR="00FB3B94" w:rsidRPr="007D3D4F" w:rsidRDefault="00FB3B94" w:rsidP="00D44A1A">
            <w:pPr>
              <w:spacing w:after="0" w:line="240" w:lineRule="auto"/>
              <w:contextualSpacing/>
              <w:rPr>
                <w:rFonts w:ascii="Times New Roman" w:eastAsia="Times New Roman" w:hAnsi="Times New Roman" w:cs="Times New Roman"/>
                <w:b/>
                <w:bCs/>
                <w:color w:val="000000"/>
                <w:kern w:val="0"/>
                <w:sz w:val="20"/>
                <w:szCs w:val="20"/>
                <w:lang w:eastAsia="en-GB"/>
                <w14:ligatures w14:val="none"/>
              </w:rPr>
            </w:pPr>
            <w:r w:rsidRPr="007D3D4F">
              <w:rPr>
                <w:rFonts w:ascii="Times New Roman" w:eastAsia="Times New Roman" w:hAnsi="Times New Roman" w:cs="Times New Roman"/>
                <w:b/>
                <w:bCs/>
                <w:color w:val="000000"/>
                <w:kern w:val="0"/>
                <w:sz w:val="20"/>
                <w:szCs w:val="20"/>
                <w:lang w:eastAsia="en-GB"/>
                <w14:ligatures w14:val="none"/>
              </w:rPr>
              <w:t xml:space="preserve">Tractoare </w:t>
            </w:r>
            <w:r w:rsidR="00BC049D" w:rsidRPr="007D3D4F">
              <w:rPr>
                <w:rFonts w:ascii="Times New Roman" w:eastAsia="Times New Roman" w:hAnsi="Times New Roman" w:cs="Times New Roman"/>
                <w:b/>
                <w:bCs/>
                <w:color w:val="000000"/>
                <w:kern w:val="0"/>
                <w:sz w:val="20"/>
                <w:szCs w:val="20"/>
                <w:lang w:eastAsia="en-GB"/>
                <w14:ligatures w14:val="none"/>
              </w:rPr>
              <w:t>înmatriculate</w:t>
            </w:r>
            <w:r w:rsidRPr="007D3D4F">
              <w:rPr>
                <w:rFonts w:ascii="Times New Roman" w:eastAsia="Times New Roman" w:hAnsi="Times New Roman" w:cs="Times New Roman"/>
                <w:b/>
                <w:bCs/>
                <w:color w:val="000000"/>
                <w:kern w:val="0"/>
                <w:sz w:val="20"/>
                <w:szCs w:val="20"/>
                <w:lang w:eastAsia="en-GB"/>
                <w14:ligatures w14:val="none"/>
              </w:rPr>
              <w:t xml:space="preserve">   </w:t>
            </w:r>
          </w:p>
        </w:tc>
        <w:tc>
          <w:tcPr>
            <w:tcW w:w="271" w:type="pct"/>
            <w:shd w:val="clear" w:color="auto" w:fill="E7E6E6" w:themeFill="background2"/>
            <w:vAlign w:val="center"/>
            <w:hideMark/>
          </w:tcPr>
          <w:p w14:paraId="09A7BAA3"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376</w:t>
            </w:r>
          </w:p>
        </w:tc>
        <w:tc>
          <w:tcPr>
            <w:tcW w:w="239" w:type="pct"/>
            <w:shd w:val="clear" w:color="auto" w:fill="E7E6E6" w:themeFill="background2"/>
            <w:vAlign w:val="center"/>
            <w:hideMark/>
          </w:tcPr>
          <w:p w14:paraId="02AFB4CB"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39" w:type="pct"/>
            <w:shd w:val="clear" w:color="auto" w:fill="E7E6E6" w:themeFill="background2"/>
            <w:vAlign w:val="center"/>
            <w:hideMark/>
          </w:tcPr>
          <w:p w14:paraId="29B77E5A"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7F771BC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21</w:t>
            </w:r>
          </w:p>
        </w:tc>
        <w:tc>
          <w:tcPr>
            <w:tcW w:w="272" w:type="pct"/>
            <w:shd w:val="clear" w:color="auto" w:fill="E7E6E6" w:themeFill="background2"/>
            <w:vAlign w:val="center"/>
            <w:hideMark/>
          </w:tcPr>
          <w:p w14:paraId="1771DDB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35</w:t>
            </w:r>
          </w:p>
        </w:tc>
        <w:tc>
          <w:tcPr>
            <w:tcW w:w="272" w:type="pct"/>
            <w:shd w:val="clear" w:color="auto" w:fill="E7E6E6" w:themeFill="background2"/>
            <w:vAlign w:val="center"/>
            <w:hideMark/>
          </w:tcPr>
          <w:p w14:paraId="06546EE9"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33</w:t>
            </w:r>
          </w:p>
        </w:tc>
        <w:tc>
          <w:tcPr>
            <w:tcW w:w="272" w:type="pct"/>
            <w:shd w:val="clear" w:color="auto" w:fill="E7E6E6" w:themeFill="background2"/>
            <w:vAlign w:val="center"/>
            <w:hideMark/>
          </w:tcPr>
          <w:p w14:paraId="702F8C8D"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287</w:t>
            </w:r>
          </w:p>
        </w:tc>
        <w:tc>
          <w:tcPr>
            <w:tcW w:w="325" w:type="pct"/>
            <w:shd w:val="clear" w:color="auto" w:fill="E7E6E6" w:themeFill="background2"/>
            <w:vAlign w:val="center"/>
            <w:hideMark/>
          </w:tcPr>
          <w:p w14:paraId="6B2FE7F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w:t>
            </w:r>
          </w:p>
        </w:tc>
        <w:tc>
          <w:tcPr>
            <w:tcW w:w="351" w:type="pct"/>
            <w:shd w:val="clear" w:color="auto" w:fill="E7E6E6" w:themeFill="background2"/>
            <w:vAlign w:val="center"/>
            <w:hideMark/>
          </w:tcPr>
          <w:p w14:paraId="27E3F555"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371</w:t>
            </w:r>
          </w:p>
        </w:tc>
        <w:tc>
          <w:tcPr>
            <w:tcW w:w="322" w:type="pct"/>
            <w:shd w:val="clear" w:color="auto" w:fill="E7E6E6" w:themeFill="background2"/>
            <w:vAlign w:val="center"/>
            <w:hideMark/>
          </w:tcPr>
          <w:p w14:paraId="6F4793AB"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382" w:type="pct"/>
            <w:shd w:val="clear" w:color="auto" w:fill="E7E6E6" w:themeFill="background2"/>
            <w:vAlign w:val="center"/>
            <w:hideMark/>
          </w:tcPr>
          <w:p w14:paraId="27F90680"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177B2E40"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0</w:t>
            </w:r>
          </w:p>
        </w:tc>
        <w:tc>
          <w:tcPr>
            <w:tcW w:w="240" w:type="pct"/>
            <w:shd w:val="clear" w:color="auto" w:fill="E7E6E6" w:themeFill="background2"/>
            <w:vAlign w:val="center"/>
            <w:hideMark/>
          </w:tcPr>
          <w:p w14:paraId="6BAA073E"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w:t>
            </w:r>
          </w:p>
        </w:tc>
        <w:tc>
          <w:tcPr>
            <w:tcW w:w="240" w:type="pct"/>
            <w:shd w:val="clear" w:color="auto" w:fill="E7E6E6" w:themeFill="background2"/>
            <w:vAlign w:val="center"/>
            <w:hideMark/>
          </w:tcPr>
          <w:p w14:paraId="74E4C5FD"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30</w:t>
            </w:r>
          </w:p>
        </w:tc>
        <w:tc>
          <w:tcPr>
            <w:tcW w:w="272" w:type="pct"/>
            <w:shd w:val="clear" w:color="auto" w:fill="E7E6E6" w:themeFill="background2"/>
            <w:vAlign w:val="center"/>
            <w:hideMark/>
          </w:tcPr>
          <w:p w14:paraId="078C6D7B" w14:textId="77777777" w:rsidR="00FB3B94" w:rsidRPr="007D3D4F" w:rsidRDefault="00FB3B94" w:rsidP="00D44A1A">
            <w:pPr>
              <w:spacing w:after="0" w:line="240" w:lineRule="auto"/>
              <w:contextualSpacing/>
              <w:jc w:val="right"/>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337</w:t>
            </w:r>
          </w:p>
        </w:tc>
      </w:tr>
      <w:tr w:rsidR="00BC049D" w:rsidRPr="007D3D4F" w14:paraId="1CF4A193" w14:textId="77777777" w:rsidTr="00BC049D">
        <w:trPr>
          <w:jc w:val="center"/>
        </w:trPr>
        <w:tc>
          <w:tcPr>
            <w:tcW w:w="824" w:type="pct"/>
            <w:shd w:val="clear" w:color="auto" w:fill="3B3838" w:themeFill="background2" w:themeFillShade="40"/>
            <w:vAlign w:val="center"/>
            <w:hideMark/>
          </w:tcPr>
          <w:p w14:paraId="7F9C3769" w14:textId="77777777" w:rsidR="00FB3B94" w:rsidRPr="007D3D4F" w:rsidRDefault="00FB3B94" w:rsidP="00D44A1A">
            <w:pPr>
              <w:spacing w:after="0" w:line="240" w:lineRule="auto"/>
              <w:contextualSpacing/>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TOTAL   </w:t>
            </w:r>
          </w:p>
        </w:tc>
        <w:tc>
          <w:tcPr>
            <w:tcW w:w="271" w:type="pct"/>
            <w:shd w:val="clear" w:color="auto" w:fill="3B3838" w:themeFill="background2" w:themeFillShade="40"/>
            <w:vAlign w:val="center"/>
            <w:hideMark/>
          </w:tcPr>
          <w:p w14:paraId="2706B028" w14:textId="155B3F5D"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98</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677</w:t>
            </w:r>
          </w:p>
        </w:tc>
        <w:tc>
          <w:tcPr>
            <w:tcW w:w="239" w:type="pct"/>
            <w:shd w:val="clear" w:color="auto" w:fill="3B3838" w:themeFill="background2" w:themeFillShade="40"/>
            <w:vAlign w:val="center"/>
            <w:hideMark/>
          </w:tcPr>
          <w:p w14:paraId="46A0AF7E" w14:textId="689A8E93"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2</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557</w:t>
            </w:r>
          </w:p>
        </w:tc>
        <w:tc>
          <w:tcPr>
            <w:tcW w:w="239" w:type="pct"/>
            <w:shd w:val="clear" w:color="auto" w:fill="3B3838" w:themeFill="background2" w:themeFillShade="40"/>
            <w:vAlign w:val="center"/>
            <w:hideMark/>
          </w:tcPr>
          <w:p w14:paraId="1D79611F" w14:textId="0C5C9BA9"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3</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913</w:t>
            </w:r>
          </w:p>
        </w:tc>
        <w:tc>
          <w:tcPr>
            <w:tcW w:w="240" w:type="pct"/>
            <w:shd w:val="clear" w:color="auto" w:fill="3B3838" w:themeFill="background2" w:themeFillShade="40"/>
            <w:vAlign w:val="center"/>
            <w:hideMark/>
          </w:tcPr>
          <w:p w14:paraId="548FAEC3" w14:textId="57CC5857"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9</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970</w:t>
            </w:r>
          </w:p>
        </w:tc>
        <w:tc>
          <w:tcPr>
            <w:tcW w:w="272" w:type="pct"/>
            <w:shd w:val="clear" w:color="auto" w:fill="3B3838" w:themeFill="background2" w:themeFillShade="40"/>
            <w:vAlign w:val="center"/>
            <w:hideMark/>
          </w:tcPr>
          <w:p w14:paraId="27305A24" w14:textId="5565F96A"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12</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841</w:t>
            </w:r>
          </w:p>
        </w:tc>
        <w:tc>
          <w:tcPr>
            <w:tcW w:w="272" w:type="pct"/>
            <w:shd w:val="clear" w:color="auto" w:fill="3B3838" w:themeFill="background2" w:themeFillShade="40"/>
            <w:vAlign w:val="center"/>
            <w:hideMark/>
          </w:tcPr>
          <w:p w14:paraId="04FECEC1" w14:textId="441E425B"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29</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623</w:t>
            </w:r>
          </w:p>
        </w:tc>
        <w:tc>
          <w:tcPr>
            <w:tcW w:w="272" w:type="pct"/>
            <w:shd w:val="clear" w:color="auto" w:fill="3B3838" w:themeFill="background2" w:themeFillShade="40"/>
            <w:vAlign w:val="center"/>
            <w:hideMark/>
          </w:tcPr>
          <w:p w14:paraId="3E4E7404" w14:textId="57E477A5"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39</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773</w:t>
            </w:r>
          </w:p>
        </w:tc>
        <w:tc>
          <w:tcPr>
            <w:tcW w:w="325" w:type="pct"/>
            <w:shd w:val="clear" w:color="auto" w:fill="3B3838" w:themeFill="background2" w:themeFillShade="40"/>
            <w:vAlign w:val="center"/>
            <w:hideMark/>
          </w:tcPr>
          <w:p w14:paraId="62C5963E" w14:textId="72CEE5EE"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39</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999</w:t>
            </w:r>
          </w:p>
        </w:tc>
        <w:tc>
          <w:tcPr>
            <w:tcW w:w="351" w:type="pct"/>
            <w:shd w:val="clear" w:color="auto" w:fill="3B3838" w:themeFill="background2" w:themeFillShade="40"/>
            <w:vAlign w:val="center"/>
            <w:hideMark/>
          </w:tcPr>
          <w:p w14:paraId="5121ABBA" w14:textId="0657D85F"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50</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162</w:t>
            </w:r>
          </w:p>
        </w:tc>
        <w:tc>
          <w:tcPr>
            <w:tcW w:w="322" w:type="pct"/>
            <w:shd w:val="clear" w:color="auto" w:fill="3B3838" w:themeFill="background2" w:themeFillShade="40"/>
            <w:vAlign w:val="center"/>
            <w:hideMark/>
          </w:tcPr>
          <w:p w14:paraId="13C5EB4B" w14:textId="77777777"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233</w:t>
            </w:r>
          </w:p>
        </w:tc>
        <w:tc>
          <w:tcPr>
            <w:tcW w:w="382" w:type="pct"/>
            <w:shd w:val="clear" w:color="auto" w:fill="3B3838" w:themeFill="background2" w:themeFillShade="40"/>
            <w:vAlign w:val="center"/>
            <w:hideMark/>
          </w:tcPr>
          <w:p w14:paraId="2AE0653A" w14:textId="73146031"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1</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193</w:t>
            </w:r>
          </w:p>
        </w:tc>
        <w:tc>
          <w:tcPr>
            <w:tcW w:w="240" w:type="pct"/>
            <w:shd w:val="clear" w:color="auto" w:fill="3B3838" w:themeFill="background2" w:themeFillShade="40"/>
            <w:vAlign w:val="center"/>
            <w:hideMark/>
          </w:tcPr>
          <w:p w14:paraId="7D9838C2" w14:textId="6FBB3408"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5</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002</w:t>
            </w:r>
          </w:p>
        </w:tc>
        <w:tc>
          <w:tcPr>
            <w:tcW w:w="240" w:type="pct"/>
            <w:shd w:val="clear" w:color="auto" w:fill="3B3838" w:themeFill="background2" w:themeFillShade="40"/>
            <w:vAlign w:val="center"/>
            <w:hideMark/>
          </w:tcPr>
          <w:p w14:paraId="53C670BF" w14:textId="7BC7F709"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7</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577</w:t>
            </w:r>
          </w:p>
        </w:tc>
        <w:tc>
          <w:tcPr>
            <w:tcW w:w="240" w:type="pct"/>
            <w:shd w:val="clear" w:color="auto" w:fill="3B3838" w:themeFill="background2" w:themeFillShade="40"/>
            <w:vAlign w:val="center"/>
            <w:hideMark/>
          </w:tcPr>
          <w:p w14:paraId="7EE03C67" w14:textId="415D1645"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7</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802</w:t>
            </w:r>
          </w:p>
        </w:tc>
        <w:tc>
          <w:tcPr>
            <w:tcW w:w="272" w:type="pct"/>
            <w:shd w:val="clear" w:color="auto" w:fill="3B3838" w:themeFill="background2" w:themeFillShade="40"/>
            <w:vAlign w:val="center"/>
            <w:hideMark/>
          </w:tcPr>
          <w:p w14:paraId="7B7A46A2" w14:textId="2B2C349A" w:rsidR="00FB3B94" w:rsidRPr="007D3D4F" w:rsidRDefault="00FB3B94" w:rsidP="00D44A1A">
            <w:pPr>
              <w:spacing w:after="0" w:line="240" w:lineRule="auto"/>
              <w:contextualSpacing/>
              <w:jc w:val="right"/>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78</w:t>
            </w:r>
            <w:r w:rsidR="007C2554" w:rsidRPr="007D3D4F">
              <w:rPr>
                <w:rFonts w:ascii="Times New Roman" w:eastAsia="Times New Roman" w:hAnsi="Times New Roman" w:cs="Times New Roman"/>
                <w:b/>
                <w:bCs/>
                <w:color w:val="FFFFFF" w:themeColor="background1"/>
                <w:kern w:val="0"/>
                <w:sz w:val="20"/>
                <w:szCs w:val="20"/>
                <w:lang w:eastAsia="en-GB"/>
                <w14:ligatures w14:val="none"/>
              </w:rPr>
              <w:t>.</w:t>
            </w:r>
            <w:r w:rsidRPr="007D3D4F">
              <w:rPr>
                <w:rFonts w:ascii="Times New Roman" w:eastAsia="Times New Roman" w:hAnsi="Times New Roman" w:cs="Times New Roman"/>
                <w:b/>
                <w:bCs/>
                <w:color w:val="FFFFFF" w:themeColor="background1"/>
                <w:kern w:val="0"/>
                <w:sz w:val="20"/>
                <w:szCs w:val="20"/>
                <w:lang w:eastAsia="en-GB"/>
                <w14:ligatures w14:val="none"/>
              </w:rPr>
              <w:t>296</w:t>
            </w:r>
          </w:p>
        </w:tc>
      </w:tr>
    </w:tbl>
    <w:p w14:paraId="09EE0DD6" w14:textId="50A6597F" w:rsidR="00CE7CCC" w:rsidRPr="007D3D4F" w:rsidRDefault="00CE7CCC" w:rsidP="004C072F">
      <w:pPr>
        <w:spacing w:before="120" w:after="120" w:line="240" w:lineRule="auto"/>
        <w:contextualSpacing/>
        <w:jc w:val="center"/>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b/>
          <w:bCs/>
          <w:color w:val="272727" w:themeColor="text1" w:themeTint="D8"/>
        </w:rPr>
        <w:t>Sursa:</w:t>
      </w:r>
      <w:r w:rsidRPr="007D3D4F">
        <w:rPr>
          <w:rFonts w:ascii="Times New Roman" w:eastAsiaTheme="majorEastAsia" w:hAnsi="Times New Roman" w:cs="Times New Roman"/>
          <w:color w:val="272727" w:themeColor="text1" w:themeTint="D8"/>
        </w:rPr>
        <w:t xml:space="preserve"> </w:t>
      </w:r>
      <w:r w:rsidR="00BC049D" w:rsidRPr="007D3D4F">
        <w:rPr>
          <w:rFonts w:ascii="Times New Roman" w:eastAsiaTheme="majorEastAsia" w:hAnsi="Times New Roman" w:cs="Times New Roman"/>
          <w:color w:val="272727" w:themeColor="text1" w:themeTint="D8"/>
        </w:rPr>
        <w:t>Direcția generală de permise de conducere și înmatriculări auto</w:t>
      </w:r>
    </w:p>
    <w:p w14:paraId="6C9CE9A2" w14:textId="77777777" w:rsidR="00FB3B94" w:rsidRPr="007D3D4F" w:rsidRDefault="00FB3B94" w:rsidP="004C072F">
      <w:pPr>
        <w:pStyle w:val="Smn"/>
        <w:contextualSpacing/>
        <w:rPr>
          <w:rFonts w:ascii="Times New Roman" w:hAnsi="Times New Roman" w:cs="Times New Roman"/>
          <w:sz w:val="22"/>
          <w:szCs w:val="22"/>
        </w:rPr>
      </w:pPr>
    </w:p>
    <w:p w14:paraId="4D63C80C" w14:textId="77777777" w:rsidR="007C2554" w:rsidRPr="007D3D4F" w:rsidRDefault="007C2554" w:rsidP="004C072F">
      <w:pPr>
        <w:pStyle w:val="Smn"/>
        <w:contextualSpacing/>
        <w:rPr>
          <w:rFonts w:ascii="Times New Roman" w:hAnsi="Times New Roman" w:cs="Times New Roman"/>
          <w:sz w:val="22"/>
          <w:szCs w:val="22"/>
        </w:rPr>
        <w:sectPr w:rsidR="007C2554" w:rsidRPr="007D3D4F" w:rsidSect="007C2554">
          <w:headerReference w:type="even" r:id="rId20"/>
          <w:headerReference w:type="default" r:id="rId21"/>
          <w:footerReference w:type="default" r:id="rId22"/>
          <w:headerReference w:type="first" r:id="rId23"/>
          <w:pgSz w:w="15840" w:h="12240" w:orient="landscape"/>
          <w:pgMar w:top="1440" w:right="1440" w:bottom="1440" w:left="1440" w:header="720" w:footer="720" w:gutter="0"/>
          <w:cols w:space="720"/>
          <w:docGrid w:linePitch="360"/>
        </w:sectPr>
      </w:pPr>
    </w:p>
    <w:p w14:paraId="14AA8EE6" w14:textId="77777777" w:rsidR="00FB42CC" w:rsidRPr="007D3D4F" w:rsidRDefault="00FB42CC" w:rsidP="004C072F">
      <w:pPr>
        <w:pStyle w:val="Smn"/>
        <w:contextualSpacing/>
        <w:rPr>
          <w:rFonts w:ascii="Times New Roman" w:hAnsi="Times New Roman" w:cs="Times New Roman"/>
          <w:b/>
          <w:bCs/>
          <w:color w:val="auto"/>
          <w:sz w:val="22"/>
          <w:szCs w:val="22"/>
        </w:rPr>
      </w:pPr>
      <w:bookmarkStart w:id="9" w:name="_Toc201653637"/>
      <w:bookmarkStart w:id="10" w:name="_Toc201653651"/>
    </w:p>
    <w:p w14:paraId="68FF3051" w14:textId="7A7950BE" w:rsidR="00FB42CC" w:rsidRPr="007D3D4F" w:rsidRDefault="00FB42CC" w:rsidP="00D81598">
      <w:pPr>
        <w:pStyle w:val="Smn"/>
        <w:numPr>
          <w:ilvl w:val="0"/>
          <w:numId w:val="28"/>
        </w:numPr>
        <w:contextualSpacing/>
        <w:rPr>
          <w:rFonts w:ascii="Times New Roman" w:hAnsi="Times New Roman" w:cs="Times New Roman"/>
          <w:i/>
          <w:iCs/>
          <w:color w:val="auto"/>
          <w:sz w:val="22"/>
          <w:szCs w:val="22"/>
        </w:rPr>
      </w:pPr>
      <w:r w:rsidRPr="007D3D4F">
        <w:rPr>
          <w:rFonts w:ascii="Times New Roman" w:hAnsi="Times New Roman" w:cs="Times New Roman"/>
          <w:b/>
          <w:bCs/>
          <w:color w:val="auto"/>
          <w:sz w:val="22"/>
          <w:szCs w:val="22"/>
        </w:rPr>
        <w:t xml:space="preserve"> </w:t>
      </w:r>
      <w:r w:rsidRPr="007D3D4F">
        <w:rPr>
          <w:rFonts w:ascii="Times New Roman" w:hAnsi="Times New Roman" w:cs="Times New Roman"/>
          <w:i/>
          <w:iCs/>
          <w:color w:val="auto"/>
          <w:sz w:val="22"/>
          <w:szCs w:val="22"/>
        </w:rPr>
        <w:t xml:space="preserve">Capitolul 3, subcapitolul </w:t>
      </w:r>
      <w:bookmarkStart w:id="11" w:name="_Toc205367501"/>
      <w:r w:rsidRPr="007D3D4F">
        <w:rPr>
          <w:rFonts w:ascii="Times New Roman" w:hAnsi="Times New Roman" w:cs="Times New Roman"/>
          <w:i/>
          <w:iCs/>
          <w:color w:val="auto"/>
          <w:sz w:val="22"/>
          <w:szCs w:val="22"/>
        </w:rPr>
        <w:t>3.2. Economie locală și fluxuri comerciale</w:t>
      </w:r>
      <w:bookmarkEnd w:id="11"/>
    </w:p>
    <w:p w14:paraId="1F754B4E" w14:textId="77777777" w:rsidR="00FB42CC" w:rsidRPr="007D3D4F" w:rsidRDefault="00FB42CC" w:rsidP="004C072F">
      <w:pPr>
        <w:pStyle w:val="Legend"/>
        <w:spacing w:before="120" w:after="120"/>
        <w:ind w:left="360"/>
        <w:contextualSpacing/>
        <w:rPr>
          <w:rFonts w:ascii="Times New Roman" w:hAnsi="Times New Roman" w:cs="Times New Roman"/>
          <w:b/>
          <w:bCs/>
          <w:i w:val="0"/>
          <w:iCs w:val="0"/>
          <w:color w:val="auto"/>
          <w:sz w:val="22"/>
          <w:szCs w:val="22"/>
        </w:rPr>
      </w:pPr>
    </w:p>
    <w:p w14:paraId="29CA000D" w14:textId="4291B34A" w:rsidR="00FB42CC" w:rsidRPr="007D3D4F" w:rsidRDefault="00FB42CC" w:rsidP="004C072F">
      <w:pPr>
        <w:pStyle w:val="Legend"/>
        <w:spacing w:before="120" w:after="120"/>
        <w:ind w:left="360"/>
        <w:contextualSpacing/>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7</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Unități locale active, pe activități ale economiei naționale, CAEN Rev. 2, clase de mărime după numărul de salariați</w:t>
      </w:r>
    </w:p>
    <w:tbl>
      <w:tblPr>
        <w:tblW w:w="9350"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7E6E6" w:themeFill="background2"/>
        <w:tblLayout w:type="fixed"/>
        <w:tblLook w:val="04A0" w:firstRow="1" w:lastRow="0" w:firstColumn="1" w:lastColumn="0" w:noHBand="0" w:noVBand="1"/>
      </w:tblPr>
      <w:tblGrid>
        <w:gridCol w:w="3964"/>
        <w:gridCol w:w="1134"/>
        <w:gridCol w:w="1134"/>
        <w:gridCol w:w="1134"/>
        <w:gridCol w:w="1134"/>
        <w:gridCol w:w="850"/>
      </w:tblGrid>
      <w:tr w:rsidR="00FB42CC" w:rsidRPr="007D3D4F" w14:paraId="046C2063" w14:textId="77777777" w:rsidTr="008E4E2E">
        <w:trPr>
          <w:tblHeader/>
          <w:jc w:val="center"/>
        </w:trPr>
        <w:tc>
          <w:tcPr>
            <w:tcW w:w="3964" w:type="dxa"/>
            <w:vMerge w:val="restart"/>
            <w:shd w:val="clear" w:color="auto" w:fill="3B3838" w:themeFill="background2" w:themeFillShade="40"/>
            <w:noWrap/>
            <w:vAlign w:val="center"/>
            <w:hideMark/>
          </w:tcPr>
          <w:p w14:paraId="4570BE8D"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CAEN Rev.2 (activităţi ale economiei naţionale - secțiuni)</w:t>
            </w:r>
          </w:p>
        </w:tc>
        <w:tc>
          <w:tcPr>
            <w:tcW w:w="5386" w:type="dxa"/>
            <w:gridSpan w:val="5"/>
            <w:shd w:val="clear" w:color="auto" w:fill="3B3838" w:themeFill="background2" w:themeFillShade="40"/>
            <w:noWrap/>
            <w:vAlign w:val="center"/>
            <w:hideMark/>
          </w:tcPr>
          <w:p w14:paraId="114AFA2C"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Clase de mărime</w:t>
            </w:r>
          </w:p>
        </w:tc>
      </w:tr>
      <w:tr w:rsidR="00FB42CC" w:rsidRPr="007D3D4F" w14:paraId="0D409AC8" w14:textId="77777777" w:rsidTr="008E4E2E">
        <w:trPr>
          <w:tblHeader/>
          <w:jc w:val="center"/>
        </w:trPr>
        <w:tc>
          <w:tcPr>
            <w:tcW w:w="3964" w:type="dxa"/>
            <w:vMerge/>
            <w:shd w:val="clear" w:color="auto" w:fill="3B3838" w:themeFill="background2" w:themeFillShade="40"/>
            <w:noWrap/>
            <w:vAlign w:val="center"/>
            <w:hideMark/>
          </w:tcPr>
          <w:p w14:paraId="4323247F"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p>
        </w:tc>
        <w:tc>
          <w:tcPr>
            <w:tcW w:w="1134" w:type="dxa"/>
            <w:shd w:val="clear" w:color="auto" w:fill="C45911" w:themeFill="accent2" w:themeFillShade="BF"/>
            <w:noWrap/>
            <w:vAlign w:val="center"/>
            <w:hideMark/>
          </w:tcPr>
          <w:p w14:paraId="363BEE42"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0-9 persoane</w:t>
            </w:r>
          </w:p>
          <w:p w14:paraId="343036D0"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(90,48%)</w:t>
            </w:r>
          </w:p>
        </w:tc>
        <w:tc>
          <w:tcPr>
            <w:tcW w:w="1134" w:type="dxa"/>
            <w:shd w:val="clear" w:color="auto" w:fill="BF8F00" w:themeFill="accent4" w:themeFillShade="BF"/>
            <w:noWrap/>
            <w:vAlign w:val="center"/>
            <w:hideMark/>
          </w:tcPr>
          <w:p w14:paraId="38B3A56D"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10-49 persoane</w:t>
            </w:r>
          </w:p>
          <w:p w14:paraId="5EDE1499"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(8,05%)</w:t>
            </w:r>
          </w:p>
        </w:tc>
        <w:tc>
          <w:tcPr>
            <w:tcW w:w="1134" w:type="dxa"/>
            <w:shd w:val="clear" w:color="auto" w:fill="BF8F00" w:themeFill="accent4" w:themeFillShade="BF"/>
            <w:noWrap/>
            <w:vAlign w:val="center"/>
            <w:hideMark/>
          </w:tcPr>
          <w:p w14:paraId="08C90ECC"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50-249 persoane</w:t>
            </w:r>
          </w:p>
          <w:p w14:paraId="24495A17"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(1,28%)</w:t>
            </w:r>
          </w:p>
        </w:tc>
        <w:tc>
          <w:tcPr>
            <w:tcW w:w="1134" w:type="dxa"/>
            <w:shd w:val="clear" w:color="auto" w:fill="BF8F00" w:themeFill="accent4" w:themeFillShade="BF"/>
            <w:noWrap/>
            <w:vAlign w:val="center"/>
            <w:hideMark/>
          </w:tcPr>
          <w:p w14:paraId="2D11DDC1"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250 persoane și peste</w:t>
            </w:r>
          </w:p>
          <w:p w14:paraId="2174EDD6"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(0,19%)</w:t>
            </w:r>
          </w:p>
        </w:tc>
        <w:tc>
          <w:tcPr>
            <w:tcW w:w="850" w:type="dxa"/>
            <w:shd w:val="clear" w:color="auto" w:fill="3B3838" w:themeFill="background2" w:themeFillShade="40"/>
            <w:noWrap/>
            <w:vAlign w:val="center"/>
            <w:hideMark/>
          </w:tcPr>
          <w:p w14:paraId="1DD4F17A" w14:textId="77777777" w:rsidR="00FB42CC" w:rsidRPr="007D3D4F" w:rsidRDefault="00FB42CC"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Total</w:t>
            </w:r>
          </w:p>
        </w:tc>
      </w:tr>
      <w:tr w:rsidR="00FB42CC" w:rsidRPr="007D3D4F" w14:paraId="1C3579B8" w14:textId="77777777" w:rsidTr="008E4E2E">
        <w:trPr>
          <w:jc w:val="center"/>
        </w:trPr>
        <w:tc>
          <w:tcPr>
            <w:tcW w:w="3964" w:type="dxa"/>
            <w:shd w:val="clear" w:color="auto" w:fill="D0CECE" w:themeFill="background2" w:themeFillShade="E6"/>
            <w:noWrap/>
            <w:vAlign w:val="center"/>
            <w:hideMark/>
          </w:tcPr>
          <w:p w14:paraId="027EACBF" w14:textId="77777777" w:rsidR="00FB42CC" w:rsidRPr="007D3D4F" w:rsidRDefault="00FB42CC"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Total județean</w:t>
            </w:r>
          </w:p>
        </w:tc>
        <w:tc>
          <w:tcPr>
            <w:tcW w:w="1134" w:type="dxa"/>
            <w:shd w:val="clear" w:color="auto" w:fill="D0CECE" w:themeFill="background2" w:themeFillShade="E6"/>
            <w:noWrap/>
            <w:vAlign w:val="center"/>
            <w:hideMark/>
          </w:tcPr>
          <w:p w14:paraId="50B5D6CE"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5.360</w:t>
            </w:r>
          </w:p>
        </w:tc>
        <w:tc>
          <w:tcPr>
            <w:tcW w:w="1134" w:type="dxa"/>
            <w:shd w:val="clear" w:color="auto" w:fill="D0CECE" w:themeFill="background2" w:themeFillShade="E6"/>
            <w:noWrap/>
            <w:vAlign w:val="center"/>
            <w:hideMark/>
          </w:tcPr>
          <w:p w14:paraId="6AFE7840"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477</w:t>
            </w:r>
          </w:p>
        </w:tc>
        <w:tc>
          <w:tcPr>
            <w:tcW w:w="1134" w:type="dxa"/>
            <w:shd w:val="clear" w:color="auto" w:fill="D0CECE" w:themeFill="background2" w:themeFillShade="E6"/>
            <w:noWrap/>
            <w:vAlign w:val="center"/>
            <w:hideMark/>
          </w:tcPr>
          <w:p w14:paraId="3F5810C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76</w:t>
            </w:r>
          </w:p>
        </w:tc>
        <w:tc>
          <w:tcPr>
            <w:tcW w:w="1134" w:type="dxa"/>
            <w:shd w:val="clear" w:color="auto" w:fill="D0CECE" w:themeFill="background2" w:themeFillShade="E6"/>
            <w:noWrap/>
            <w:vAlign w:val="center"/>
            <w:hideMark/>
          </w:tcPr>
          <w:p w14:paraId="30899BDC"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w:t>
            </w:r>
          </w:p>
        </w:tc>
        <w:tc>
          <w:tcPr>
            <w:tcW w:w="850" w:type="dxa"/>
            <w:shd w:val="clear" w:color="auto" w:fill="D0CECE" w:themeFill="background2" w:themeFillShade="E6"/>
            <w:noWrap/>
            <w:vAlign w:val="center"/>
            <w:hideMark/>
          </w:tcPr>
          <w:p w14:paraId="2A2D056A"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5.924</w:t>
            </w:r>
          </w:p>
        </w:tc>
      </w:tr>
      <w:tr w:rsidR="00FB42CC" w:rsidRPr="007D3D4F" w14:paraId="4C6842DA" w14:textId="77777777" w:rsidTr="008E4E2E">
        <w:trPr>
          <w:jc w:val="center"/>
        </w:trPr>
        <w:tc>
          <w:tcPr>
            <w:tcW w:w="3964" w:type="dxa"/>
            <w:shd w:val="clear" w:color="auto" w:fill="F7CAAC" w:themeFill="accent2" w:themeFillTint="66"/>
            <w:noWrap/>
            <w:vAlign w:val="center"/>
            <w:hideMark/>
          </w:tcPr>
          <w:p w14:paraId="4A8B42E3"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A Agricultură, silvicultură și pescuit</w:t>
            </w:r>
          </w:p>
        </w:tc>
        <w:tc>
          <w:tcPr>
            <w:tcW w:w="1134" w:type="dxa"/>
            <w:shd w:val="clear" w:color="auto" w:fill="F7CAAC" w:themeFill="accent2" w:themeFillTint="66"/>
            <w:noWrap/>
            <w:vAlign w:val="center"/>
            <w:hideMark/>
          </w:tcPr>
          <w:p w14:paraId="5B91DD66"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509</w:t>
            </w:r>
          </w:p>
        </w:tc>
        <w:tc>
          <w:tcPr>
            <w:tcW w:w="1134" w:type="dxa"/>
            <w:shd w:val="clear" w:color="auto" w:fill="F7CAAC" w:themeFill="accent2" w:themeFillTint="66"/>
            <w:noWrap/>
            <w:vAlign w:val="center"/>
            <w:hideMark/>
          </w:tcPr>
          <w:p w14:paraId="05E77138"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63</w:t>
            </w:r>
          </w:p>
        </w:tc>
        <w:tc>
          <w:tcPr>
            <w:tcW w:w="1134" w:type="dxa"/>
            <w:shd w:val="clear" w:color="auto" w:fill="F7CAAC" w:themeFill="accent2" w:themeFillTint="66"/>
            <w:noWrap/>
            <w:vAlign w:val="center"/>
            <w:hideMark/>
          </w:tcPr>
          <w:p w14:paraId="1AEF18A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w:t>
            </w:r>
          </w:p>
        </w:tc>
        <w:tc>
          <w:tcPr>
            <w:tcW w:w="1134" w:type="dxa"/>
            <w:shd w:val="clear" w:color="auto" w:fill="F7CAAC" w:themeFill="accent2" w:themeFillTint="66"/>
            <w:noWrap/>
            <w:vAlign w:val="center"/>
            <w:hideMark/>
          </w:tcPr>
          <w:p w14:paraId="6192B2E9"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p>
        </w:tc>
        <w:tc>
          <w:tcPr>
            <w:tcW w:w="850" w:type="dxa"/>
            <w:shd w:val="clear" w:color="auto" w:fill="F7CAAC" w:themeFill="accent2" w:themeFillTint="66"/>
            <w:noWrap/>
            <w:vAlign w:val="center"/>
            <w:hideMark/>
          </w:tcPr>
          <w:p w14:paraId="53E67D78"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577</w:t>
            </w:r>
          </w:p>
        </w:tc>
      </w:tr>
      <w:tr w:rsidR="00FB42CC" w:rsidRPr="007D3D4F" w14:paraId="182AB841" w14:textId="77777777" w:rsidTr="008E4E2E">
        <w:trPr>
          <w:jc w:val="center"/>
        </w:trPr>
        <w:tc>
          <w:tcPr>
            <w:tcW w:w="3964" w:type="dxa"/>
            <w:shd w:val="clear" w:color="auto" w:fill="E7E6E6" w:themeFill="background2"/>
            <w:noWrap/>
            <w:vAlign w:val="center"/>
            <w:hideMark/>
          </w:tcPr>
          <w:p w14:paraId="56D9925D"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B Industria extractivă</w:t>
            </w:r>
          </w:p>
        </w:tc>
        <w:tc>
          <w:tcPr>
            <w:tcW w:w="1134" w:type="dxa"/>
            <w:shd w:val="clear" w:color="auto" w:fill="E7E6E6" w:themeFill="background2"/>
            <w:noWrap/>
            <w:vAlign w:val="center"/>
            <w:hideMark/>
          </w:tcPr>
          <w:p w14:paraId="73D0EC93"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w:t>
            </w:r>
          </w:p>
        </w:tc>
        <w:tc>
          <w:tcPr>
            <w:tcW w:w="1134" w:type="dxa"/>
            <w:shd w:val="clear" w:color="auto" w:fill="E7E6E6" w:themeFill="background2"/>
            <w:noWrap/>
            <w:vAlign w:val="center"/>
            <w:hideMark/>
          </w:tcPr>
          <w:p w14:paraId="3110A7BC"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w:t>
            </w:r>
          </w:p>
        </w:tc>
        <w:tc>
          <w:tcPr>
            <w:tcW w:w="1134" w:type="dxa"/>
            <w:shd w:val="clear" w:color="auto" w:fill="E7E6E6" w:themeFill="background2"/>
            <w:noWrap/>
            <w:vAlign w:val="center"/>
            <w:hideMark/>
          </w:tcPr>
          <w:p w14:paraId="66FF932A"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w:t>
            </w:r>
          </w:p>
        </w:tc>
        <w:tc>
          <w:tcPr>
            <w:tcW w:w="1134" w:type="dxa"/>
            <w:shd w:val="clear" w:color="auto" w:fill="E7E6E6" w:themeFill="background2"/>
            <w:noWrap/>
            <w:vAlign w:val="center"/>
            <w:hideMark/>
          </w:tcPr>
          <w:p w14:paraId="75BD911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04750418"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19</w:t>
            </w:r>
          </w:p>
        </w:tc>
      </w:tr>
      <w:tr w:rsidR="00FB42CC" w:rsidRPr="007D3D4F" w14:paraId="0D43C5BD" w14:textId="77777777" w:rsidTr="008E4E2E">
        <w:trPr>
          <w:jc w:val="center"/>
        </w:trPr>
        <w:tc>
          <w:tcPr>
            <w:tcW w:w="3964" w:type="dxa"/>
            <w:shd w:val="clear" w:color="auto" w:fill="E7E6E6" w:themeFill="background2"/>
            <w:noWrap/>
            <w:vAlign w:val="center"/>
            <w:hideMark/>
          </w:tcPr>
          <w:p w14:paraId="39EB5D8C"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 Industria prelucrătoare</w:t>
            </w:r>
          </w:p>
        </w:tc>
        <w:tc>
          <w:tcPr>
            <w:tcW w:w="1134" w:type="dxa"/>
            <w:shd w:val="clear" w:color="auto" w:fill="E7E6E6" w:themeFill="background2"/>
            <w:noWrap/>
            <w:vAlign w:val="center"/>
            <w:hideMark/>
          </w:tcPr>
          <w:p w14:paraId="157085B9"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392</w:t>
            </w:r>
          </w:p>
        </w:tc>
        <w:tc>
          <w:tcPr>
            <w:tcW w:w="1134" w:type="dxa"/>
            <w:shd w:val="clear" w:color="auto" w:fill="E7E6E6" w:themeFill="background2"/>
            <w:noWrap/>
            <w:vAlign w:val="center"/>
            <w:hideMark/>
          </w:tcPr>
          <w:p w14:paraId="18C6D716"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91</w:t>
            </w:r>
          </w:p>
        </w:tc>
        <w:tc>
          <w:tcPr>
            <w:tcW w:w="1134" w:type="dxa"/>
            <w:shd w:val="clear" w:color="auto" w:fill="E7E6E6" w:themeFill="background2"/>
            <w:noWrap/>
            <w:vAlign w:val="center"/>
            <w:hideMark/>
          </w:tcPr>
          <w:p w14:paraId="1F362868"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23</w:t>
            </w:r>
          </w:p>
        </w:tc>
        <w:tc>
          <w:tcPr>
            <w:tcW w:w="1134" w:type="dxa"/>
            <w:shd w:val="clear" w:color="auto" w:fill="E7E6E6" w:themeFill="background2"/>
            <w:noWrap/>
            <w:vAlign w:val="center"/>
            <w:hideMark/>
          </w:tcPr>
          <w:p w14:paraId="7BB8E735"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w:t>
            </w:r>
          </w:p>
        </w:tc>
        <w:tc>
          <w:tcPr>
            <w:tcW w:w="850" w:type="dxa"/>
            <w:shd w:val="clear" w:color="auto" w:fill="E7E6E6" w:themeFill="background2"/>
            <w:noWrap/>
            <w:vAlign w:val="center"/>
            <w:hideMark/>
          </w:tcPr>
          <w:p w14:paraId="7F8ADCC1"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513</w:t>
            </w:r>
          </w:p>
        </w:tc>
      </w:tr>
      <w:tr w:rsidR="00FB42CC" w:rsidRPr="007D3D4F" w14:paraId="447B8F1B" w14:textId="77777777" w:rsidTr="008E4E2E">
        <w:trPr>
          <w:jc w:val="center"/>
        </w:trPr>
        <w:tc>
          <w:tcPr>
            <w:tcW w:w="3964" w:type="dxa"/>
            <w:shd w:val="clear" w:color="auto" w:fill="E7E6E6" w:themeFill="background2"/>
            <w:noWrap/>
            <w:vAlign w:val="center"/>
            <w:hideMark/>
          </w:tcPr>
          <w:p w14:paraId="7C058D3E"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D Producția și furnizarea de energie electrică și termică, gaze, apă caldă și aer condiționat</w:t>
            </w:r>
          </w:p>
        </w:tc>
        <w:tc>
          <w:tcPr>
            <w:tcW w:w="1134" w:type="dxa"/>
            <w:shd w:val="clear" w:color="auto" w:fill="E7E6E6" w:themeFill="background2"/>
            <w:noWrap/>
            <w:vAlign w:val="center"/>
            <w:hideMark/>
          </w:tcPr>
          <w:p w14:paraId="7C087C74"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20</w:t>
            </w:r>
          </w:p>
        </w:tc>
        <w:tc>
          <w:tcPr>
            <w:tcW w:w="1134" w:type="dxa"/>
            <w:shd w:val="clear" w:color="auto" w:fill="E7E6E6" w:themeFill="background2"/>
            <w:noWrap/>
            <w:vAlign w:val="center"/>
            <w:hideMark/>
          </w:tcPr>
          <w:p w14:paraId="6C9B74E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w:t>
            </w:r>
          </w:p>
        </w:tc>
        <w:tc>
          <w:tcPr>
            <w:tcW w:w="1134" w:type="dxa"/>
            <w:shd w:val="clear" w:color="auto" w:fill="E7E6E6" w:themeFill="background2"/>
            <w:noWrap/>
            <w:vAlign w:val="center"/>
            <w:hideMark/>
          </w:tcPr>
          <w:p w14:paraId="22E1EC56"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w:t>
            </w:r>
          </w:p>
        </w:tc>
        <w:tc>
          <w:tcPr>
            <w:tcW w:w="1134" w:type="dxa"/>
            <w:shd w:val="clear" w:color="auto" w:fill="E7E6E6" w:themeFill="background2"/>
            <w:noWrap/>
            <w:vAlign w:val="center"/>
            <w:hideMark/>
          </w:tcPr>
          <w:p w14:paraId="50346E4A"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0677FEE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25</w:t>
            </w:r>
          </w:p>
        </w:tc>
      </w:tr>
      <w:tr w:rsidR="00FB42CC" w:rsidRPr="007D3D4F" w14:paraId="04A5E779" w14:textId="77777777" w:rsidTr="008E4E2E">
        <w:trPr>
          <w:jc w:val="center"/>
        </w:trPr>
        <w:tc>
          <w:tcPr>
            <w:tcW w:w="3964" w:type="dxa"/>
            <w:shd w:val="clear" w:color="auto" w:fill="E7E6E6" w:themeFill="background2"/>
            <w:noWrap/>
            <w:vAlign w:val="center"/>
            <w:hideMark/>
          </w:tcPr>
          <w:p w14:paraId="532DE3D0"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E Distribuția apei; salubritate, gestionarea deșeurilor, activități de decontaminare</w:t>
            </w:r>
          </w:p>
        </w:tc>
        <w:tc>
          <w:tcPr>
            <w:tcW w:w="1134" w:type="dxa"/>
            <w:shd w:val="clear" w:color="auto" w:fill="E7E6E6" w:themeFill="background2"/>
            <w:noWrap/>
            <w:vAlign w:val="center"/>
            <w:hideMark/>
          </w:tcPr>
          <w:p w14:paraId="228976B6"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37</w:t>
            </w:r>
          </w:p>
        </w:tc>
        <w:tc>
          <w:tcPr>
            <w:tcW w:w="1134" w:type="dxa"/>
            <w:shd w:val="clear" w:color="auto" w:fill="E7E6E6" w:themeFill="background2"/>
            <w:noWrap/>
            <w:vAlign w:val="center"/>
            <w:hideMark/>
          </w:tcPr>
          <w:p w14:paraId="0E9BD6EC"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16</w:t>
            </w:r>
          </w:p>
        </w:tc>
        <w:tc>
          <w:tcPr>
            <w:tcW w:w="1134" w:type="dxa"/>
            <w:shd w:val="clear" w:color="auto" w:fill="E7E6E6" w:themeFill="background2"/>
            <w:noWrap/>
            <w:vAlign w:val="center"/>
            <w:hideMark/>
          </w:tcPr>
          <w:p w14:paraId="0B90D50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w:t>
            </w:r>
          </w:p>
        </w:tc>
        <w:tc>
          <w:tcPr>
            <w:tcW w:w="1134" w:type="dxa"/>
            <w:shd w:val="clear" w:color="auto" w:fill="E7E6E6" w:themeFill="background2"/>
            <w:noWrap/>
            <w:vAlign w:val="center"/>
            <w:hideMark/>
          </w:tcPr>
          <w:p w14:paraId="4E4A5233"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p>
        </w:tc>
        <w:tc>
          <w:tcPr>
            <w:tcW w:w="850" w:type="dxa"/>
            <w:shd w:val="clear" w:color="auto" w:fill="E7E6E6" w:themeFill="background2"/>
            <w:noWrap/>
            <w:vAlign w:val="center"/>
            <w:hideMark/>
          </w:tcPr>
          <w:p w14:paraId="14405FB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56</w:t>
            </w:r>
          </w:p>
        </w:tc>
      </w:tr>
      <w:tr w:rsidR="00FB42CC" w:rsidRPr="007D3D4F" w14:paraId="236DA877" w14:textId="77777777" w:rsidTr="008E4E2E">
        <w:trPr>
          <w:jc w:val="center"/>
        </w:trPr>
        <w:tc>
          <w:tcPr>
            <w:tcW w:w="3964" w:type="dxa"/>
            <w:shd w:val="clear" w:color="auto" w:fill="E7E6E6" w:themeFill="background2"/>
            <w:noWrap/>
            <w:vAlign w:val="center"/>
            <w:hideMark/>
          </w:tcPr>
          <w:p w14:paraId="6BADD290"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F Construcții</w:t>
            </w:r>
          </w:p>
        </w:tc>
        <w:tc>
          <w:tcPr>
            <w:tcW w:w="1134" w:type="dxa"/>
            <w:shd w:val="clear" w:color="auto" w:fill="E7E6E6" w:themeFill="background2"/>
            <w:noWrap/>
            <w:vAlign w:val="center"/>
            <w:hideMark/>
          </w:tcPr>
          <w:p w14:paraId="0673D4B4"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446</w:t>
            </w:r>
          </w:p>
        </w:tc>
        <w:tc>
          <w:tcPr>
            <w:tcW w:w="1134" w:type="dxa"/>
            <w:shd w:val="clear" w:color="auto" w:fill="E7E6E6" w:themeFill="background2"/>
            <w:noWrap/>
            <w:vAlign w:val="center"/>
            <w:hideMark/>
          </w:tcPr>
          <w:p w14:paraId="24B3B092"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55</w:t>
            </w:r>
          </w:p>
        </w:tc>
        <w:tc>
          <w:tcPr>
            <w:tcW w:w="1134" w:type="dxa"/>
            <w:shd w:val="clear" w:color="auto" w:fill="E7E6E6" w:themeFill="background2"/>
            <w:noWrap/>
            <w:vAlign w:val="center"/>
            <w:hideMark/>
          </w:tcPr>
          <w:p w14:paraId="1C8986D7"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w:t>
            </w:r>
          </w:p>
        </w:tc>
        <w:tc>
          <w:tcPr>
            <w:tcW w:w="1134" w:type="dxa"/>
            <w:shd w:val="clear" w:color="auto" w:fill="E7E6E6" w:themeFill="background2"/>
            <w:noWrap/>
            <w:vAlign w:val="center"/>
            <w:hideMark/>
          </w:tcPr>
          <w:p w14:paraId="6306A99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p>
        </w:tc>
        <w:tc>
          <w:tcPr>
            <w:tcW w:w="850" w:type="dxa"/>
            <w:shd w:val="clear" w:color="auto" w:fill="E7E6E6" w:themeFill="background2"/>
            <w:noWrap/>
            <w:vAlign w:val="center"/>
            <w:hideMark/>
          </w:tcPr>
          <w:p w14:paraId="11A5DF21"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506</w:t>
            </w:r>
          </w:p>
        </w:tc>
      </w:tr>
      <w:tr w:rsidR="00FB42CC" w:rsidRPr="007D3D4F" w14:paraId="636BB82A" w14:textId="77777777" w:rsidTr="008E4E2E">
        <w:trPr>
          <w:jc w:val="center"/>
        </w:trPr>
        <w:tc>
          <w:tcPr>
            <w:tcW w:w="3964" w:type="dxa"/>
            <w:shd w:val="clear" w:color="auto" w:fill="F7CAAC" w:themeFill="accent2" w:themeFillTint="66"/>
            <w:noWrap/>
            <w:vAlign w:val="center"/>
            <w:hideMark/>
          </w:tcPr>
          <w:p w14:paraId="40E4AEE7"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G Comerț cu ridicata și cu amănuntul; repararea autovehiculelor și motocicletelor</w:t>
            </w:r>
          </w:p>
        </w:tc>
        <w:tc>
          <w:tcPr>
            <w:tcW w:w="1134" w:type="dxa"/>
            <w:shd w:val="clear" w:color="auto" w:fill="F7CAAC" w:themeFill="accent2" w:themeFillTint="66"/>
            <w:noWrap/>
            <w:vAlign w:val="center"/>
            <w:hideMark/>
          </w:tcPr>
          <w:p w14:paraId="2016AD4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1.442</w:t>
            </w:r>
          </w:p>
        </w:tc>
        <w:tc>
          <w:tcPr>
            <w:tcW w:w="1134" w:type="dxa"/>
            <w:shd w:val="clear" w:color="auto" w:fill="F7CAAC" w:themeFill="accent2" w:themeFillTint="66"/>
            <w:noWrap/>
            <w:vAlign w:val="center"/>
            <w:hideMark/>
          </w:tcPr>
          <w:p w14:paraId="21037DE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96</w:t>
            </w:r>
          </w:p>
        </w:tc>
        <w:tc>
          <w:tcPr>
            <w:tcW w:w="1134" w:type="dxa"/>
            <w:shd w:val="clear" w:color="auto" w:fill="F7CAAC" w:themeFill="accent2" w:themeFillTint="66"/>
            <w:noWrap/>
            <w:vAlign w:val="center"/>
            <w:hideMark/>
          </w:tcPr>
          <w:p w14:paraId="1E02B8DA"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19</w:t>
            </w:r>
          </w:p>
        </w:tc>
        <w:tc>
          <w:tcPr>
            <w:tcW w:w="1134" w:type="dxa"/>
            <w:shd w:val="clear" w:color="auto" w:fill="F7CAAC" w:themeFill="accent2" w:themeFillTint="66"/>
            <w:noWrap/>
            <w:vAlign w:val="center"/>
            <w:hideMark/>
          </w:tcPr>
          <w:p w14:paraId="697A4F2C"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p>
        </w:tc>
        <w:tc>
          <w:tcPr>
            <w:tcW w:w="850" w:type="dxa"/>
            <w:shd w:val="clear" w:color="auto" w:fill="F7CAAC" w:themeFill="accent2" w:themeFillTint="66"/>
            <w:noWrap/>
            <w:vAlign w:val="center"/>
            <w:hideMark/>
          </w:tcPr>
          <w:p w14:paraId="143C2BD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1.558</w:t>
            </w:r>
          </w:p>
        </w:tc>
      </w:tr>
      <w:tr w:rsidR="00FB42CC" w:rsidRPr="007D3D4F" w14:paraId="336A3611" w14:textId="77777777" w:rsidTr="008E4E2E">
        <w:trPr>
          <w:jc w:val="center"/>
        </w:trPr>
        <w:tc>
          <w:tcPr>
            <w:tcW w:w="3964" w:type="dxa"/>
            <w:shd w:val="clear" w:color="auto" w:fill="F7CAAC" w:themeFill="accent2" w:themeFillTint="66"/>
            <w:noWrap/>
            <w:vAlign w:val="center"/>
            <w:hideMark/>
          </w:tcPr>
          <w:p w14:paraId="36851F44"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H Transport și depozitare</w:t>
            </w:r>
          </w:p>
        </w:tc>
        <w:tc>
          <w:tcPr>
            <w:tcW w:w="1134" w:type="dxa"/>
            <w:shd w:val="clear" w:color="auto" w:fill="F7CAAC" w:themeFill="accent2" w:themeFillTint="66"/>
            <w:noWrap/>
            <w:vAlign w:val="center"/>
            <w:hideMark/>
          </w:tcPr>
          <w:p w14:paraId="2C0D3EC8"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676</w:t>
            </w:r>
          </w:p>
        </w:tc>
        <w:tc>
          <w:tcPr>
            <w:tcW w:w="1134" w:type="dxa"/>
            <w:shd w:val="clear" w:color="auto" w:fill="F7CAAC" w:themeFill="accent2" w:themeFillTint="66"/>
            <w:noWrap/>
            <w:vAlign w:val="center"/>
            <w:hideMark/>
          </w:tcPr>
          <w:p w14:paraId="132E58A6"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42</w:t>
            </w:r>
          </w:p>
        </w:tc>
        <w:tc>
          <w:tcPr>
            <w:tcW w:w="1134" w:type="dxa"/>
            <w:shd w:val="clear" w:color="auto" w:fill="F7CAAC" w:themeFill="accent2" w:themeFillTint="66"/>
            <w:noWrap/>
            <w:vAlign w:val="center"/>
            <w:hideMark/>
          </w:tcPr>
          <w:p w14:paraId="740B918C"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w:t>
            </w:r>
          </w:p>
        </w:tc>
        <w:tc>
          <w:tcPr>
            <w:tcW w:w="1134" w:type="dxa"/>
            <w:shd w:val="clear" w:color="auto" w:fill="F7CAAC" w:themeFill="accent2" w:themeFillTint="66"/>
            <w:noWrap/>
            <w:vAlign w:val="center"/>
            <w:hideMark/>
          </w:tcPr>
          <w:p w14:paraId="7ADB9F5E"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F7CAAC" w:themeFill="accent2" w:themeFillTint="66"/>
            <w:noWrap/>
            <w:vAlign w:val="center"/>
            <w:hideMark/>
          </w:tcPr>
          <w:p w14:paraId="567DCE8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725</w:t>
            </w:r>
          </w:p>
        </w:tc>
      </w:tr>
      <w:tr w:rsidR="00FB42CC" w:rsidRPr="007D3D4F" w14:paraId="7DF339F3" w14:textId="77777777" w:rsidTr="008E4E2E">
        <w:trPr>
          <w:jc w:val="center"/>
        </w:trPr>
        <w:tc>
          <w:tcPr>
            <w:tcW w:w="3964" w:type="dxa"/>
            <w:shd w:val="clear" w:color="auto" w:fill="E7E6E6" w:themeFill="background2"/>
            <w:noWrap/>
            <w:vAlign w:val="center"/>
            <w:hideMark/>
          </w:tcPr>
          <w:p w14:paraId="0CA8F628"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I Hoteluri și restaurante</w:t>
            </w:r>
          </w:p>
        </w:tc>
        <w:tc>
          <w:tcPr>
            <w:tcW w:w="1134" w:type="dxa"/>
            <w:shd w:val="clear" w:color="auto" w:fill="E7E6E6" w:themeFill="background2"/>
            <w:noWrap/>
            <w:vAlign w:val="center"/>
            <w:hideMark/>
          </w:tcPr>
          <w:p w14:paraId="48F8170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414</w:t>
            </w:r>
          </w:p>
        </w:tc>
        <w:tc>
          <w:tcPr>
            <w:tcW w:w="1134" w:type="dxa"/>
            <w:shd w:val="clear" w:color="auto" w:fill="E7E6E6" w:themeFill="background2"/>
            <w:noWrap/>
            <w:vAlign w:val="center"/>
            <w:hideMark/>
          </w:tcPr>
          <w:p w14:paraId="7099223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47</w:t>
            </w:r>
          </w:p>
        </w:tc>
        <w:tc>
          <w:tcPr>
            <w:tcW w:w="1134" w:type="dxa"/>
            <w:shd w:val="clear" w:color="auto" w:fill="E7E6E6" w:themeFill="background2"/>
            <w:noWrap/>
            <w:vAlign w:val="center"/>
            <w:hideMark/>
          </w:tcPr>
          <w:p w14:paraId="3DC37A2B"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w:t>
            </w:r>
          </w:p>
        </w:tc>
        <w:tc>
          <w:tcPr>
            <w:tcW w:w="1134" w:type="dxa"/>
            <w:shd w:val="clear" w:color="auto" w:fill="E7E6E6" w:themeFill="background2"/>
            <w:noWrap/>
            <w:vAlign w:val="center"/>
            <w:hideMark/>
          </w:tcPr>
          <w:p w14:paraId="0F328EC7"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219C22E4"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464</w:t>
            </w:r>
          </w:p>
        </w:tc>
      </w:tr>
      <w:tr w:rsidR="00FB42CC" w:rsidRPr="007D3D4F" w14:paraId="5C3D917B" w14:textId="77777777" w:rsidTr="008E4E2E">
        <w:trPr>
          <w:jc w:val="center"/>
        </w:trPr>
        <w:tc>
          <w:tcPr>
            <w:tcW w:w="3964" w:type="dxa"/>
            <w:shd w:val="clear" w:color="auto" w:fill="E7E6E6" w:themeFill="background2"/>
            <w:noWrap/>
            <w:vAlign w:val="center"/>
            <w:hideMark/>
          </w:tcPr>
          <w:p w14:paraId="77031729"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J Informații și comunicații</w:t>
            </w:r>
          </w:p>
        </w:tc>
        <w:tc>
          <w:tcPr>
            <w:tcW w:w="1134" w:type="dxa"/>
            <w:shd w:val="clear" w:color="auto" w:fill="E7E6E6" w:themeFill="background2"/>
            <w:noWrap/>
            <w:vAlign w:val="center"/>
            <w:hideMark/>
          </w:tcPr>
          <w:p w14:paraId="4C9C71B6"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122</w:t>
            </w:r>
          </w:p>
        </w:tc>
        <w:tc>
          <w:tcPr>
            <w:tcW w:w="1134" w:type="dxa"/>
            <w:shd w:val="clear" w:color="auto" w:fill="E7E6E6" w:themeFill="background2"/>
            <w:noWrap/>
            <w:vAlign w:val="center"/>
            <w:hideMark/>
          </w:tcPr>
          <w:p w14:paraId="28C329A9"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w:t>
            </w:r>
          </w:p>
        </w:tc>
        <w:tc>
          <w:tcPr>
            <w:tcW w:w="1134" w:type="dxa"/>
            <w:shd w:val="clear" w:color="auto" w:fill="E7E6E6" w:themeFill="background2"/>
            <w:noWrap/>
            <w:vAlign w:val="center"/>
            <w:hideMark/>
          </w:tcPr>
          <w:p w14:paraId="62220A5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p>
        </w:tc>
        <w:tc>
          <w:tcPr>
            <w:tcW w:w="1134" w:type="dxa"/>
            <w:shd w:val="clear" w:color="auto" w:fill="E7E6E6" w:themeFill="background2"/>
            <w:noWrap/>
            <w:vAlign w:val="center"/>
            <w:hideMark/>
          </w:tcPr>
          <w:p w14:paraId="4EF4870C"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15EDBB77"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126</w:t>
            </w:r>
          </w:p>
        </w:tc>
      </w:tr>
      <w:tr w:rsidR="00FB42CC" w:rsidRPr="007D3D4F" w14:paraId="177C37CE" w14:textId="77777777" w:rsidTr="008E4E2E">
        <w:trPr>
          <w:jc w:val="center"/>
        </w:trPr>
        <w:tc>
          <w:tcPr>
            <w:tcW w:w="3964" w:type="dxa"/>
            <w:shd w:val="clear" w:color="auto" w:fill="E7E6E6" w:themeFill="background2"/>
            <w:noWrap/>
            <w:vAlign w:val="center"/>
            <w:hideMark/>
          </w:tcPr>
          <w:p w14:paraId="4102FFF0"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K Intermedieri financiare și asigurări</w:t>
            </w:r>
          </w:p>
        </w:tc>
        <w:tc>
          <w:tcPr>
            <w:tcW w:w="1134" w:type="dxa"/>
            <w:shd w:val="clear" w:color="auto" w:fill="E7E6E6" w:themeFill="background2"/>
            <w:noWrap/>
            <w:vAlign w:val="center"/>
            <w:hideMark/>
          </w:tcPr>
          <w:p w14:paraId="2B217560"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57</w:t>
            </w:r>
          </w:p>
        </w:tc>
        <w:tc>
          <w:tcPr>
            <w:tcW w:w="1134" w:type="dxa"/>
            <w:shd w:val="clear" w:color="auto" w:fill="E7E6E6" w:themeFill="background2"/>
            <w:noWrap/>
            <w:vAlign w:val="center"/>
            <w:hideMark/>
          </w:tcPr>
          <w:p w14:paraId="3DA0BFE3"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1134" w:type="dxa"/>
            <w:shd w:val="clear" w:color="auto" w:fill="E7E6E6" w:themeFill="background2"/>
            <w:noWrap/>
            <w:vAlign w:val="center"/>
            <w:hideMark/>
          </w:tcPr>
          <w:p w14:paraId="5AEE4367"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1134" w:type="dxa"/>
            <w:shd w:val="clear" w:color="auto" w:fill="E7E6E6" w:themeFill="background2"/>
            <w:noWrap/>
            <w:vAlign w:val="center"/>
            <w:hideMark/>
          </w:tcPr>
          <w:p w14:paraId="019C9B64"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7001FE0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57</w:t>
            </w:r>
          </w:p>
        </w:tc>
      </w:tr>
      <w:tr w:rsidR="00FB42CC" w:rsidRPr="007D3D4F" w14:paraId="2CC271CA" w14:textId="77777777" w:rsidTr="008E4E2E">
        <w:trPr>
          <w:jc w:val="center"/>
        </w:trPr>
        <w:tc>
          <w:tcPr>
            <w:tcW w:w="3964" w:type="dxa"/>
            <w:shd w:val="clear" w:color="auto" w:fill="E7E6E6" w:themeFill="background2"/>
            <w:noWrap/>
            <w:vAlign w:val="center"/>
            <w:hideMark/>
          </w:tcPr>
          <w:p w14:paraId="13759B40"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L Tranzacții imobiliare</w:t>
            </w:r>
          </w:p>
        </w:tc>
        <w:tc>
          <w:tcPr>
            <w:tcW w:w="1134" w:type="dxa"/>
            <w:shd w:val="clear" w:color="auto" w:fill="E7E6E6" w:themeFill="background2"/>
            <w:noWrap/>
            <w:vAlign w:val="center"/>
            <w:hideMark/>
          </w:tcPr>
          <w:p w14:paraId="21D1AFA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108</w:t>
            </w:r>
          </w:p>
        </w:tc>
        <w:tc>
          <w:tcPr>
            <w:tcW w:w="1134" w:type="dxa"/>
            <w:shd w:val="clear" w:color="auto" w:fill="E7E6E6" w:themeFill="background2"/>
            <w:noWrap/>
            <w:vAlign w:val="center"/>
            <w:hideMark/>
          </w:tcPr>
          <w:p w14:paraId="044D805B"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w:t>
            </w:r>
          </w:p>
        </w:tc>
        <w:tc>
          <w:tcPr>
            <w:tcW w:w="1134" w:type="dxa"/>
            <w:shd w:val="clear" w:color="auto" w:fill="E7E6E6" w:themeFill="background2"/>
            <w:noWrap/>
            <w:vAlign w:val="center"/>
            <w:hideMark/>
          </w:tcPr>
          <w:p w14:paraId="2C41C3E1"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1134" w:type="dxa"/>
            <w:shd w:val="clear" w:color="auto" w:fill="E7E6E6" w:themeFill="background2"/>
            <w:noWrap/>
            <w:vAlign w:val="center"/>
            <w:hideMark/>
          </w:tcPr>
          <w:p w14:paraId="720457A4"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2BA324AB"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110</w:t>
            </w:r>
          </w:p>
        </w:tc>
      </w:tr>
      <w:tr w:rsidR="00FB42CC" w:rsidRPr="007D3D4F" w14:paraId="31B4813E" w14:textId="77777777" w:rsidTr="008E4E2E">
        <w:trPr>
          <w:jc w:val="center"/>
        </w:trPr>
        <w:tc>
          <w:tcPr>
            <w:tcW w:w="3964" w:type="dxa"/>
            <w:shd w:val="clear" w:color="auto" w:fill="E7E6E6" w:themeFill="background2"/>
            <w:noWrap/>
            <w:vAlign w:val="center"/>
            <w:hideMark/>
          </w:tcPr>
          <w:p w14:paraId="3A9418AB"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 Activități profesionale, științifice și tehnice</w:t>
            </w:r>
          </w:p>
        </w:tc>
        <w:tc>
          <w:tcPr>
            <w:tcW w:w="1134" w:type="dxa"/>
            <w:shd w:val="clear" w:color="auto" w:fill="E7E6E6" w:themeFill="background2"/>
            <w:noWrap/>
            <w:vAlign w:val="center"/>
            <w:hideMark/>
          </w:tcPr>
          <w:p w14:paraId="5E831A22"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473</w:t>
            </w:r>
          </w:p>
        </w:tc>
        <w:tc>
          <w:tcPr>
            <w:tcW w:w="1134" w:type="dxa"/>
            <w:shd w:val="clear" w:color="auto" w:fill="E7E6E6" w:themeFill="background2"/>
            <w:noWrap/>
            <w:vAlign w:val="center"/>
            <w:hideMark/>
          </w:tcPr>
          <w:p w14:paraId="668E652A"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w:t>
            </w:r>
          </w:p>
        </w:tc>
        <w:tc>
          <w:tcPr>
            <w:tcW w:w="1134" w:type="dxa"/>
            <w:shd w:val="clear" w:color="auto" w:fill="E7E6E6" w:themeFill="background2"/>
            <w:noWrap/>
            <w:vAlign w:val="center"/>
            <w:hideMark/>
          </w:tcPr>
          <w:p w14:paraId="7FCBDBCA"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p>
        </w:tc>
        <w:tc>
          <w:tcPr>
            <w:tcW w:w="1134" w:type="dxa"/>
            <w:shd w:val="clear" w:color="auto" w:fill="E7E6E6" w:themeFill="background2"/>
            <w:noWrap/>
            <w:vAlign w:val="center"/>
            <w:hideMark/>
          </w:tcPr>
          <w:p w14:paraId="4ABBC4E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207E8B58"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483</w:t>
            </w:r>
          </w:p>
        </w:tc>
      </w:tr>
      <w:tr w:rsidR="00FB42CC" w:rsidRPr="007D3D4F" w14:paraId="18BA8687" w14:textId="77777777" w:rsidTr="008E4E2E">
        <w:trPr>
          <w:jc w:val="center"/>
        </w:trPr>
        <w:tc>
          <w:tcPr>
            <w:tcW w:w="3964" w:type="dxa"/>
            <w:shd w:val="clear" w:color="auto" w:fill="E7E6E6" w:themeFill="background2"/>
            <w:noWrap/>
            <w:vAlign w:val="center"/>
            <w:hideMark/>
          </w:tcPr>
          <w:p w14:paraId="74CEEBEE"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N Activități de servicii administrative și activități de servicii suport</w:t>
            </w:r>
          </w:p>
        </w:tc>
        <w:tc>
          <w:tcPr>
            <w:tcW w:w="1134" w:type="dxa"/>
            <w:shd w:val="clear" w:color="auto" w:fill="E7E6E6" w:themeFill="background2"/>
            <w:noWrap/>
            <w:vAlign w:val="center"/>
            <w:hideMark/>
          </w:tcPr>
          <w:p w14:paraId="413E0372"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186</w:t>
            </w:r>
          </w:p>
        </w:tc>
        <w:tc>
          <w:tcPr>
            <w:tcW w:w="1134" w:type="dxa"/>
            <w:shd w:val="clear" w:color="auto" w:fill="E7E6E6" w:themeFill="background2"/>
            <w:noWrap/>
            <w:vAlign w:val="center"/>
            <w:hideMark/>
          </w:tcPr>
          <w:p w14:paraId="0316FB2B"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18</w:t>
            </w:r>
          </w:p>
        </w:tc>
        <w:tc>
          <w:tcPr>
            <w:tcW w:w="1134" w:type="dxa"/>
            <w:shd w:val="clear" w:color="auto" w:fill="E7E6E6" w:themeFill="background2"/>
            <w:noWrap/>
            <w:vAlign w:val="center"/>
            <w:hideMark/>
          </w:tcPr>
          <w:p w14:paraId="23AE506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7</w:t>
            </w:r>
          </w:p>
        </w:tc>
        <w:tc>
          <w:tcPr>
            <w:tcW w:w="1134" w:type="dxa"/>
            <w:shd w:val="clear" w:color="auto" w:fill="E7E6E6" w:themeFill="background2"/>
            <w:noWrap/>
            <w:vAlign w:val="center"/>
            <w:hideMark/>
          </w:tcPr>
          <w:p w14:paraId="71503B17"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2DF7DBDD"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211</w:t>
            </w:r>
          </w:p>
        </w:tc>
      </w:tr>
      <w:tr w:rsidR="00FB42CC" w:rsidRPr="007D3D4F" w14:paraId="4872BBB9" w14:textId="77777777" w:rsidTr="008E4E2E">
        <w:trPr>
          <w:jc w:val="center"/>
        </w:trPr>
        <w:tc>
          <w:tcPr>
            <w:tcW w:w="3964" w:type="dxa"/>
            <w:shd w:val="clear" w:color="auto" w:fill="E7E6E6" w:themeFill="background2"/>
            <w:noWrap/>
            <w:vAlign w:val="center"/>
            <w:hideMark/>
          </w:tcPr>
          <w:p w14:paraId="46C7A955"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P Învățământ</w:t>
            </w:r>
          </w:p>
        </w:tc>
        <w:tc>
          <w:tcPr>
            <w:tcW w:w="1134" w:type="dxa"/>
            <w:shd w:val="clear" w:color="auto" w:fill="E7E6E6" w:themeFill="background2"/>
            <w:noWrap/>
            <w:vAlign w:val="center"/>
            <w:hideMark/>
          </w:tcPr>
          <w:p w14:paraId="74B7F5D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54</w:t>
            </w:r>
          </w:p>
        </w:tc>
        <w:tc>
          <w:tcPr>
            <w:tcW w:w="1134" w:type="dxa"/>
            <w:shd w:val="clear" w:color="auto" w:fill="E7E6E6" w:themeFill="background2"/>
            <w:noWrap/>
            <w:vAlign w:val="center"/>
            <w:hideMark/>
          </w:tcPr>
          <w:p w14:paraId="50605D9A"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3</w:t>
            </w:r>
          </w:p>
        </w:tc>
        <w:tc>
          <w:tcPr>
            <w:tcW w:w="1134" w:type="dxa"/>
            <w:shd w:val="clear" w:color="auto" w:fill="E7E6E6" w:themeFill="background2"/>
            <w:noWrap/>
            <w:vAlign w:val="center"/>
            <w:hideMark/>
          </w:tcPr>
          <w:p w14:paraId="1BF3C4E0"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1134" w:type="dxa"/>
            <w:shd w:val="clear" w:color="auto" w:fill="E7E6E6" w:themeFill="background2"/>
            <w:noWrap/>
            <w:vAlign w:val="center"/>
            <w:hideMark/>
          </w:tcPr>
          <w:p w14:paraId="71D47660"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7ECE3922"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57</w:t>
            </w:r>
          </w:p>
        </w:tc>
      </w:tr>
      <w:tr w:rsidR="00FB42CC" w:rsidRPr="007D3D4F" w14:paraId="704BD882" w14:textId="77777777" w:rsidTr="008E4E2E">
        <w:trPr>
          <w:jc w:val="center"/>
        </w:trPr>
        <w:tc>
          <w:tcPr>
            <w:tcW w:w="3964" w:type="dxa"/>
            <w:shd w:val="clear" w:color="auto" w:fill="E7E6E6" w:themeFill="background2"/>
            <w:noWrap/>
            <w:vAlign w:val="center"/>
            <w:hideMark/>
          </w:tcPr>
          <w:p w14:paraId="7498711C"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Q Sănătate și asistență socială</w:t>
            </w:r>
          </w:p>
        </w:tc>
        <w:tc>
          <w:tcPr>
            <w:tcW w:w="1134" w:type="dxa"/>
            <w:shd w:val="clear" w:color="auto" w:fill="E7E6E6" w:themeFill="background2"/>
            <w:noWrap/>
            <w:vAlign w:val="center"/>
            <w:hideMark/>
          </w:tcPr>
          <w:p w14:paraId="17383543"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165</w:t>
            </w:r>
          </w:p>
        </w:tc>
        <w:tc>
          <w:tcPr>
            <w:tcW w:w="1134" w:type="dxa"/>
            <w:shd w:val="clear" w:color="auto" w:fill="E7E6E6" w:themeFill="background2"/>
            <w:noWrap/>
            <w:vAlign w:val="center"/>
            <w:hideMark/>
          </w:tcPr>
          <w:p w14:paraId="62600901"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14</w:t>
            </w:r>
          </w:p>
        </w:tc>
        <w:tc>
          <w:tcPr>
            <w:tcW w:w="1134" w:type="dxa"/>
            <w:shd w:val="clear" w:color="auto" w:fill="E7E6E6" w:themeFill="background2"/>
            <w:noWrap/>
            <w:vAlign w:val="center"/>
            <w:hideMark/>
          </w:tcPr>
          <w:p w14:paraId="19465803"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1134" w:type="dxa"/>
            <w:shd w:val="clear" w:color="auto" w:fill="E7E6E6" w:themeFill="background2"/>
            <w:noWrap/>
            <w:vAlign w:val="center"/>
            <w:hideMark/>
          </w:tcPr>
          <w:p w14:paraId="3AAB2D1A"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53EE1942"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179</w:t>
            </w:r>
          </w:p>
        </w:tc>
      </w:tr>
      <w:tr w:rsidR="00FB42CC" w:rsidRPr="007D3D4F" w14:paraId="312AD385" w14:textId="77777777" w:rsidTr="008E4E2E">
        <w:trPr>
          <w:jc w:val="center"/>
        </w:trPr>
        <w:tc>
          <w:tcPr>
            <w:tcW w:w="3964" w:type="dxa"/>
            <w:shd w:val="clear" w:color="auto" w:fill="E7E6E6" w:themeFill="background2"/>
            <w:noWrap/>
            <w:vAlign w:val="center"/>
            <w:hideMark/>
          </w:tcPr>
          <w:p w14:paraId="28BDE3C5"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R Activități de spectacole, culturale și recreative</w:t>
            </w:r>
          </w:p>
        </w:tc>
        <w:tc>
          <w:tcPr>
            <w:tcW w:w="1134" w:type="dxa"/>
            <w:shd w:val="clear" w:color="auto" w:fill="E7E6E6" w:themeFill="background2"/>
            <w:noWrap/>
            <w:vAlign w:val="center"/>
            <w:hideMark/>
          </w:tcPr>
          <w:p w14:paraId="17D7CFD1"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95</w:t>
            </w:r>
          </w:p>
        </w:tc>
        <w:tc>
          <w:tcPr>
            <w:tcW w:w="1134" w:type="dxa"/>
            <w:shd w:val="clear" w:color="auto" w:fill="E7E6E6" w:themeFill="background2"/>
            <w:noWrap/>
            <w:vAlign w:val="center"/>
            <w:hideMark/>
          </w:tcPr>
          <w:p w14:paraId="4D4C30D5"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4</w:t>
            </w:r>
          </w:p>
        </w:tc>
        <w:tc>
          <w:tcPr>
            <w:tcW w:w="1134" w:type="dxa"/>
            <w:shd w:val="clear" w:color="auto" w:fill="E7E6E6" w:themeFill="background2"/>
            <w:noWrap/>
            <w:vAlign w:val="center"/>
            <w:hideMark/>
          </w:tcPr>
          <w:p w14:paraId="7EFA4626"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1134" w:type="dxa"/>
            <w:shd w:val="clear" w:color="auto" w:fill="E7E6E6" w:themeFill="background2"/>
            <w:noWrap/>
            <w:vAlign w:val="center"/>
            <w:hideMark/>
          </w:tcPr>
          <w:p w14:paraId="626219C9"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68842921"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99</w:t>
            </w:r>
          </w:p>
        </w:tc>
      </w:tr>
      <w:tr w:rsidR="00FB42CC" w:rsidRPr="007D3D4F" w14:paraId="31A82A66" w14:textId="77777777" w:rsidTr="008E4E2E">
        <w:trPr>
          <w:jc w:val="center"/>
        </w:trPr>
        <w:tc>
          <w:tcPr>
            <w:tcW w:w="3964" w:type="dxa"/>
            <w:shd w:val="clear" w:color="auto" w:fill="E7E6E6" w:themeFill="background2"/>
            <w:noWrap/>
            <w:vAlign w:val="center"/>
            <w:hideMark/>
          </w:tcPr>
          <w:p w14:paraId="53016ACF" w14:textId="77777777" w:rsidR="00FB42CC" w:rsidRPr="007D3D4F" w:rsidRDefault="00FB42CC" w:rsidP="00D44A1A">
            <w:pPr>
              <w:spacing w:after="0" w:line="240" w:lineRule="auto"/>
              <w:contextualSpacing/>
              <w:jc w:val="both"/>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 Alte activități de servicii</w:t>
            </w:r>
          </w:p>
        </w:tc>
        <w:tc>
          <w:tcPr>
            <w:tcW w:w="1134" w:type="dxa"/>
            <w:shd w:val="clear" w:color="auto" w:fill="E7E6E6" w:themeFill="background2"/>
            <w:noWrap/>
            <w:vAlign w:val="center"/>
            <w:hideMark/>
          </w:tcPr>
          <w:p w14:paraId="786B6AB3"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153</w:t>
            </w:r>
          </w:p>
        </w:tc>
        <w:tc>
          <w:tcPr>
            <w:tcW w:w="1134" w:type="dxa"/>
            <w:shd w:val="clear" w:color="auto" w:fill="E7E6E6" w:themeFill="background2"/>
            <w:noWrap/>
            <w:vAlign w:val="center"/>
            <w:hideMark/>
          </w:tcPr>
          <w:p w14:paraId="4BE95D9F"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5</w:t>
            </w:r>
          </w:p>
        </w:tc>
        <w:tc>
          <w:tcPr>
            <w:tcW w:w="1134" w:type="dxa"/>
            <w:shd w:val="clear" w:color="auto" w:fill="E7E6E6" w:themeFill="background2"/>
            <w:noWrap/>
            <w:vAlign w:val="center"/>
            <w:hideMark/>
          </w:tcPr>
          <w:p w14:paraId="52B97BB2"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w:t>
            </w:r>
          </w:p>
        </w:tc>
        <w:tc>
          <w:tcPr>
            <w:tcW w:w="1134" w:type="dxa"/>
            <w:shd w:val="clear" w:color="auto" w:fill="E7E6E6" w:themeFill="background2"/>
            <w:noWrap/>
            <w:vAlign w:val="center"/>
            <w:hideMark/>
          </w:tcPr>
          <w:p w14:paraId="30CB3AD3"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t>
            </w:r>
          </w:p>
        </w:tc>
        <w:tc>
          <w:tcPr>
            <w:tcW w:w="850" w:type="dxa"/>
            <w:shd w:val="clear" w:color="auto" w:fill="E7E6E6" w:themeFill="background2"/>
            <w:noWrap/>
            <w:vAlign w:val="center"/>
            <w:hideMark/>
          </w:tcPr>
          <w:p w14:paraId="7F9C7E59" w14:textId="77777777" w:rsidR="00FB42CC" w:rsidRPr="007D3D4F" w:rsidRDefault="00FB42CC" w:rsidP="00D44A1A">
            <w:pPr>
              <w:spacing w:after="0" w:line="240" w:lineRule="auto"/>
              <w:contextualSpacing/>
              <w:jc w:val="center"/>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159</w:t>
            </w:r>
          </w:p>
        </w:tc>
      </w:tr>
    </w:tbl>
    <w:p w14:paraId="1B6F4D85" w14:textId="77777777" w:rsidR="00FB42CC" w:rsidRPr="007D3D4F" w:rsidRDefault="00FB42CC" w:rsidP="00D81598">
      <w:pPr>
        <w:pStyle w:val="Listparagraf"/>
        <w:numPr>
          <w:ilvl w:val="0"/>
          <w:numId w:val="28"/>
        </w:numPr>
        <w:spacing w:before="120" w:after="120" w:line="240" w:lineRule="auto"/>
        <w:jc w:val="center"/>
        <w:rPr>
          <w:rFonts w:ascii="Times New Roman" w:eastAsiaTheme="majorEastAsia" w:hAnsi="Times New Roman" w:cs="Times New Roman"/>
          <w:color w:val="272727" w:themeColor="text1" w:themeTint="D8"/>
        </w:rPr>
      </w:pPr>
      <w:r w:rsidRPr="007D3D4F">
        <w:rPr>
          <w:rFonts w:ascii="Times New Roman" w:eastAsiaTheme="majorEastAsia" w:hAnsi="Times New Roman" w:cs="Times New Roman"/>
          <w:b/>
          <w:bCs/>
          <w:color w:val="272727" w:themeColor="text1" w:themeTint="D8"/>
        </w:rPr>
        <w:t>Sursa:</w:t>
      </w:r>
      <w:r w:rsidRPr="007D3D4F">
        <w:rPr>
          <w:rFonts w:ascii="Times New Roman" w:eastAsiaTheme="majorEastAsia" w:hAnsi="Times New Roman" w:cs="Times New Roman"/>
          <w:color w:val="272727" w:themeColor="text1" w:themeTint="D8"/>
        </w:rPr>
        <w:t xml:space="preserve"> Institutul Național de Statistică</w:t>
      </w:r>
    </w:p>
    <w:p w14:paraId="72939D58" w14:textId="77777777" w:rsidR="00FB42CC" w:rsidRPr="007D3D4F" w:rsidRDefault="00FB42CC" w:rsidP="004C072F">
      <w:pPr>
        <w:pStyle w:val="Smn"/>
        <w:contextualSpacing/>
        <w:rPr>
          <w:rFonts w:ascii="Times New Roman" w:hAnsi="Times New Roman" w:cs="Times New Roman"/>
          <w:sz w:val="22"/>
          <w:szCs w:val="22"/>
        </w:rPr>
      </w:pPr>
    </w:p>
    <w:p w14:paraId="2403D032" w14:textId="21FB0D34" w:rsidR="00FB42CC" w:rsidRPr="007D3D4F" w:rsidRDefault="00FB42CC"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color w:val="auto"/>
          <w:sz w:val="22"/>
          <w:szCs w:val="22"/>
        </w:rPr>
        <w:br w:type="page"/>
      </w:r>
      <w:r w:rsidRPr="007D3D4F">
        <w:rPr>
          <w:rFonts w:ascii="Times New Roman" w:hAnsi="Times New Roman" w:cs="Times New Roman"/>
          <w:b/>
          <w:bCs/>
          <w:i w:val="0"/>
          <w:iCs w:val="0"/>
          <w:color w:val="auto"/>
          <w:sz w:val="22"/>
          <w:szCs w:val="22"/>
        </w:rPr>
        <w:lastRenderedPageBreak/>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8</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 Top 10 companii active la nivel județean, după CA</w:t>
      </w:r>
    </w:p>
    <w:tbl>
      <w:tblPr>
        <w:tblStyle w:val="Tabelgril"/>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7E6E6" w:themeFill="background2"/>
        <w:tblLook w:val="04A0" w:firstRow="1" w:lastRow="0" w:firstColumn="1" w:lastColumn="0" w:noHBand="0" w:noVBand="1"/>
      </w:tblPr>
      <w:tblGrid>
        <w:gridCol w:w="589"/>
        <w:gridCol w:w="1695"/>
        <w:gridCol w:w="3271"/>
        <w:gridCol w:w="1299"/>
        <w:gridCol w:w="1148"/>
        <w:gridCol w:w="1312"/>
      </w:tblGrid>
      <w:tr w:rsidR="00FB42CC" w:rsidRPr="007D3D4F" w14:paraId="49A6F167" w14:textId="77777777" w:rsidTr="008E4E2E">
        <w:trPr>
          <w:tblHeader/>
          <w:jc w:val="center"/>
        </w:trPr>
        <w:tc>
          <w:tcPr>
            <w:tcW w:w="0" w:type="auto"/>
            <w:vMerge w:val="restart"/>
            <w:shd w:val="clear" w:color="auto" w:fill="3B3838" w:themeFill="background2" w:themeFillShade="40"/>
            <w:vAlign w:val="center"/>
          </w:tcPr>
          <w:p w14:paraId="4156E010"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Nr. crt.</w:t>
            </w:r>
          </w:p>
        </w:tc>
        <w:tc>
          <w:tcPr>
            <w:tcW w:w="886" w:type="pct"/>
            <w:vMerge w:val="restart"/>
            <w:shd w:val="clear" w:color="auto" w:fill="3B3838" w:themeFill="background2" w:themeFillShade="40"/>
            <w:vAlign w:val="center"/>
          </w:tcPr>
          <w:p w14:paraId="3CDE8DBF"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Denumire</w:t>
            </w:r>
          </w:p>
        </w:tc>
        <w:tc>
          <w:tcPr>
            <w:tcW w:w="1761" w:type="pct"/>
            <w:vMerge w:val="restart"/>
            <w:shd w:val="clear" w:color="auto" w:fill="3B3838" w:themeFill="background2" w:themeFillShade="40"/>
            <w:vAlign w:val="center"/>
          </w:tcPr>
          <w:p w14:paraId="40F09A40"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Cod CAEN principal</w:t>
            </w:r>
          </w:p>
        </w:tc>
        <w:tc>
          <w:tcPr>
            <w:tcW w:w="2033" w:type="pct"/>
            <w:gridSpan w:val="3"/>
            <w:shd w:val="clear" w:color="auto" w:fill="3B3838" w:themeFill="background2" w:themeFillShade="40"/>
            <w:vAlign w:val="center"/>
          </w:tcPr>
          <w:p w14:paraId="695A5620"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Anul 2024</w:t>
            </w:r>
          </w:p>
        </w:tc>
      </w:tr>
      <w:tr w:rsidR="00FB42CC" w:rsidRPr="007D3D4F" w14:paraId="38B632DE" w14:textId="77777777" w:rsidTr="008E4E2E">
        <w:trPr>
          <w:tblHeader/>
          <w:jc w:val="center"/>
        </w:trPr>
        <w:tc>
          <w:tcPr>
            <w:tcW w:w="0" w:type="auto"/>
            <w:vMerge/>
            <w:shd w:val="clear" w:color="auto" w:fill="3B3838" w:themeFill="background2" w:themeFillShade="40"/>
            <w:vAlign w:val="center"/>
          </w:tcPr>
          <w:p w14:paraId="2487C5DA"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p>
        </w:tc>
        <w:tc>
          <w:tcPr>
            <w:tcW w:w="886" w:type="pct"/>
            <w:vMerge/>
            <w:shd w:val="clear" w:color="auto" w:fill="3B3838" w:themeFill="background2" w:themeFillShade="40"/>
            <w:vAlign w:val="center"/>
          </w:tcPr>
          <w:p w14:paraId="07BDEFF9"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p>
        </w:tc>
        <w:tc>
          <w:tcPr>
            <w:tcW w:w="1761" w:type="pct"/>
            <w:vMerge/>
            <w:shd w:val="clear" w:color="auto" w:fill="3B3838" w:themeFill="background2" w:themeFillShade="40"/>
            <w:vAlign w:val="center"/>
          </w:tcPr>
          <w:p w14:paraId="1CABEAA4"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p>
        </w:tc>
        <w:tc>
          <w:tcPr>
            <w:tcW w:w="702" w:type="pct"/>
            <w:shd w:val="clear" w:color="auto" w:fill="3B3838" w:themeFill="background2" w:themeFillShade="40"/>
            <w:vAlign w:val="center"/>
          </w:tcPr>
          <w:p w14:paraId="0A555E7D"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CA (RON)</w:t>
            </w:r>
          </w:p>
        </w:tc>
        <w:tc>
          <w:tcPr>
            <w:tcW w:w="0" w:type="auto"/>
            <w:shd w:val="clear" w:color="auto" w:fill="3B3838" w:themeFill="background2" w:themeFillShade="40"/>
            <w:vAlign w:val="center"/>
          </w:tcPr>
          <w:p w14:paraId="08168AC6"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Profit net (RON</w:t>
            </w:r>
          </w:p>
        </w:tc>
        <w:tc>
          <w:tcPr>
            <w:tcW w:w="0" w:type="auto"/>
            <w:shd w:val="clear" w:color="auto" w:fill="3B3838" w:themeFill="background2" w:themeFillShade="40"/>
            <w:vAlign w:val="center"/>
          </w:tcPr>
          <w:p w14:paraId="63D68B98" w14:textId="77777777" w:rsidR="00FB42CC" w:rsidRPr="007D3D4F" w:rsidRDefault="00FB42CC" w:rsidP="00D44A1A">
            <w:pPr>
              <w:pStyle w:val="Smn"/>
              <w:spacing w:before="0" w:after="0"/>
              <w:contextualSpacing/>
              <w:jc w:val="center"/>
              <w:rPr>
                <w:rFonts w:ascii="Times New Roman" w:hAnsi="Times New Roman" w:cs="Times New Roman"/>
                <w:b/>
                <w:bCs/>
                <w:color w:val="FFFFFF" w:themeColor="background1"/>
                <w:sz w:val="20"/>
                <w:szCs w:val="20"/>
              </w:rPr>
            </w:pPr>
            <w:r w:rsidRPr="007D3D4F">
              <w:rPr>
                <w:rFonts w:ascii="Times New Roman" w:hAnsi="Times New Roman" w:cs="Times New Roman"/>
                <w:b/>
                <w:bCs/>
                <w:color w:val="FFFFFF" w:themeColor="background1"/>
                <w:sz w:val="20"/>
                <w:szCs w:val="20"/>
              </w:rPr>
              <w:t>Nr. mediu angajați</w:t>
            </w:r>
          </w:p>
        </w:tc>
      </w:tr>
      <w:tr w:rsidR="00FB42CC" w:rsidRPr="007D3D4F" w14:paraId="29256D6F" w14:textId="77777777" w:rsidTr="008E4E2E">
        <w:trPr>
          <w:jc w:val="center"/>
        </w:trPr>
        <w:tc>
          <w:tcPr>
            <w:tcW w:w="0" w:type="auto"/>
            <w:shd w:val="clear" w:color="auto" w:fill="E7E6E6" w:themeFill="background2"/>
            <w:vAlign w:val="center"/>
          </w:tcPr>
          <w:p w14:paraId="40CA30A9"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27B99E36"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CAMBELA PROD SRL</w:t>
            </w:r>
          </w:p>
          <w:p w14:paraId="16F736CA"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(Sat Stejaru)</w:t>
            </w:r>
          </w:p>
        </w:tc>
        <w:tc>
          <w:tcPr>
            <w:tcW w:w="1761" w:type="pct"/>
            <w:shd w:val="clear" w:color="auto" w:fill="E7E6E6" w:themeFill="background2"/>
            <w:vAlign w:val="center"/>
          </w:tcPr>
          <w:p w14:paraId="24FDAD90"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Cod CAEN</w:t>
            </w:r>
          </w:p>
          <w:p w14:paraId="32F84069"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4621 Rev. 2  (similar 4621 Rev. 3)</w:t>
            </w:r>
          </w:p>
          <w:p w14:paraId="78CBC07A"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Obiect Activitate</w:t>
            </w:r>
            <w:r w:rsidRPr="007D3D4F">
              <w:rPr>
                <w:rFonts w:ascii="Times New Roman" w:hAnsi="Times New Roman" w:cs="Times New Roman"/>
                <w:b/>
                <w:bCs/>
                <w:sz w:val="20"/>
                <w:szCs w:val="20"/>
              </w:rPr>
              <w:tab/>
            </w:r>
          </w:p>
          <w:p w14:paraId="3BA3FB56"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Comerț cu ridicata al cerealelor, semințelor, furajelor și tutunului neprelucrat</w:t>
            </w:r>
          </w:p>
        </w:tc>
        <w:tc>
          <w:tcPr>
            <w:tcW w:w="702" w:type="pct"/>
            <w:shd w:val="clear" w:color="auto" w:fill="E7E6E6" w:themeFill="background2"/>
            <w:vAlign w:val="center"/>
          </w:tcPr>
          <w:p w14:paraId="1CEDE531"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950.047.878</w:t>
            </w:r>
          </w:p>
        </w:tc>
        <w:tc>
          <w:tcPr>
            <w:tcW w:w="0" w:type="auto"/>
            <w:shd w:val="clear" w:color="auto" w:fill="E7E6E6" w:themeFill="background2"/>
            <w:vAlign w:val="center"/>
          </w:tcPr>
          <w:p w14:paraId="6D7E3F32"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23.646.826</w:t>
            </w:r>
          </w:p>
        </w:tc>
        <w:tc>
          <w:tcPr>
            <w:tcW w:w="0" w:type="auto"/>
            <w:shd w:val="clear" w:color="auto" w:fill="E7E6E6" w:themeFill="background2"/>
            <w:vAlign w:val="center"/>
          </w:tcPr>
          <w:p w14:paraId="1F4B5C6C"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75</w:t>
            </w:r>
          </w:p>
        </w:tc>
      </w:tr>
      <w:tr w:rsidR="00FB42CC" w:rsidRPr="007D3D4F" w14:paraId="5646D1E4" w14:textId="77777777" w:rsidTr="008E4E2E">
        <w:trPr>
          <w:jc w:val="center"/>
        </w:trPr>
        <w:tc>
          <w:tcPr>
            <w:tcW w:w="0" w:type="auto"/>
            <w:shd w:val="clear" w:color="auto" w:fill="E7E6E6" w:themeFill="background2"/>
            <w:vAlign w:val="center"/>
          </w:tcPr>
          <w:p w14:paraId="1BE3F8C5"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13CB4EF2"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CEREALE COLECT DISTRIBUTION SRL</w:t>
            </w:r>
          </w:p>
          <w:p w14:paraId="79A06849"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(Sat Mihail Kogălniceanu)</w:t>
            </w:r>
          </w:p>
        </w:tc>
        <w:tc>
          <w:tcPr>
            <w:tcW w:w="1761" w:type="pct"/>
            <w:shd w:val="clear" w:color="auto" w:fill="E7E6E6" w:themeFill="background2"/>
            <w:vAlign w:val="center"/>
          </w:tcPr>
          <w:p w14:paraId="19CDB893"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Cod CAEN</w:t>
            </w:r>
            <w:r w:rsidRPr="007D3D4F">
              <w:rPr>
                <w:rFonts w:ascii="Times New Roman" w:hAnsi="Times New Roman" w:cs="Times New Roman"/>
                <w:b/>
                <w:bCs/>
                <w:sz w:val="20"/>
                <w:szCs w:val="20"/>
              </w:rPr>
              <w:tab/>
            </w:r>
          </w:p>
          <w:p w14:paraId="042EA337"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4621 Rev. 2  (similar 4621 Rev. 3)</w:t>
            </w:r>
          </w:p>
          <w:p w14:paraId="0C383738"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Obiect Activitate</w:t>
            </w:r>
            <w:r w:rsidRPr="007D3D4F">
              <w:rPr>
                <w:rFonts w:ascii="Times New Roman" w:hAnsi="Times New Roman" w:cs="Times New Roman"/>
                <w:b/>
                <w:bCs/>
                <w:sz w:val="20"/>
                <w:szCs w:val="20"/>
              </w:rPr>
              <w:tab/>
            </w:r>
          </w:p>
          <w:p w14:paraId="63AB28B2"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Comerț cu ridicata al cerealelor, semințelor, furajelor și tutunului neprelucrat</w:t>
            </w:r>
          </w:p>
        </w:tc>
        <w:tc>
          <w:tcPr>
            <w:tcW w:w="702" w:type="pct"/>
            <w:shd w:val="clear" w:color="auto" w:fill="E7E6E6" w:themeFill="background2"/>
            <w:vAlign w:val="center"/>
          </w:tcPr>
          <w:p w14:paraId="38452E33"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597.818.473</w:t>
            </w:r>
          </w:p>
        </w:tc>
        <w:tc>
          <w:tcPr>
            <w:tcW w:w="0" w:type="auto"/>
            <w:shd w:val="clear" w:color="auto" w:fill="E7E6E6" w:themeFill="background2"/>
            <w:vAlign w:val="center"/>
          </w:tcPr>
          <w:p w14:paraId="510A25D4"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9.323.553</w:t>
            </w:r>
          </w:p>
        </w:tc>
        <w:tc>
          <w:tcPr>
            <w:tcW w:w="0" w:type="auto"/>
            <w:shd w:val="clear" w:color="auto" w:fill="E7E6E6" w:themeFill="background2"/>
            <w:vAlign w:val="center"/>
          </w:tcPr>
          <w:p w14:paraId="0D5A24EA"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226</w:t>
            </w:r>
          </w:p>
        </w:tc>
      </w:tr>
      <w:tr w:rsidR="00FB42CC" w:rsidRPr="007D3D4F" w14:paraId="73EE31E3" w14:textId="77777777" w:rsidTr="008E4E2E">
        <w:trPr>
          <w:jc w:val="center"/>
        </w:trPr>
        <w:tc>
          <w:tcPr>
            <w:tcW w:w="0" w:type="auto"/>
            <w:shd w:val="clear" w:color="auto" w:fill="E7E6E6" w:themeFill="background2"/>
            <w:vAlign w:val="center"/>
          </w:tcPr>
          <w:p w14:paraId="75EEEA19"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6997ABDA"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MINI FARM SRL</w:t>
            </w:r>
          </w:p>
          <w:p w14:paraId="7AA8C440"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(Loc. Babadag)</w:t>
            </w:r>
          </w:p>
        </w:tc>
        <w:tc>
          <w:tcPr>
            <w:tcW w:w="1761" w:type="pct"/>
            <w:shd w:val="clear" w:color="auto" w:fill="E7E6E6" w:themeFill="background2"/>
            <w:vAlign w:val="center"/>
          </w:tcPr>
          <w:p w14:paraId="377DC755"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Cod CAEN</w:t>
            </w:r>
            <w:r w:rsidRPr="007D3D4F">
              <w:rPr>
                <w:rFonts w:ascii="Times New Roman" w:hAnsi="Times New Roman" w:cs="Times New Roman"/>
                <w:b/>
                <w:bCs/>
                <w:sz w:val="20"/>
                <w:szCs w:val="20"/>
              </w:rPr>
              <w:tab/>
            </w:r>
          </w:p>
          <w:p w14:paraId="6F54D9EC"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4773 Rev. 2  (similar 4773 Rev. 3)</w:t>
            </w:r>
          </w:p>
          <w:p w14:paraId="25392EF8"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Obiect Activitate</w:t>
            </w:r>
            <w:r w:rsidRPr="007D3D4F">
              <w:rPr>
                <w:rFonts w:ascii="Times New Roman" w:hAnsi="Times New Roman" w:cs="Times New Roman"/>
                <w:b/>
                <w:bCs/>
                <w:sz w:val="20"/>
                <w:szCs w:val="20"/>
              </w:rPr>
              <w:tab/>
            </w:r>
          </w:p>
          <w:p w14:paraId="1DCB99DE"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Comerț cu amănuntul al produselor farmaceutice, în magazine specializate</w:t>
            </w:r>
          </w:p>
        </w:tc>
        <w:tc>
          <w:tcPr>
            <w:tcW w:w="702" w:type="pct"/>
            <w:shd w:val="clear" w:color="auto" w:fill="E7E6E6" w:themeFill="background2"/>
            <w:vAlign w:val="center"/>
          </w:tcPr>
          <w:p w14:paraId="26DA8ED9"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507.208.246</w:t>
            </w:r>
          </w:p>
        </w:tc>
        <w:tc>
          <w:tcPr>
            <w:tcW w:w="0" w:type="auto"/>
            <w:shd w:val="clear" w:color="auto" w:fill="E7E6E6" w:themeFill="background2"/>
            <w:vAlign w:val="center"/>
          </w:tcPr>
          <w:p w14:paraId="29A6F353"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2.480.525</w:t>
            </w:r>
          </w:p>
        </w:tc>
        <w:tc>
          <w:tcPr>
            <w:tcW w:w="0" w:type="auto"/>
            <w:shd w:val="clear" w:color="auto" w:fill="E7E6E6" w:themeFill="background2"/>
            <w:vAlign w:val="center"/>
          </w:tcPr>
          <w:p w14:paraId="04D17E7D"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718</w:t>
            </w:r>
          </w:p>
        </w:tc>
      </w:tr>
      <w:tr w:rsidR="00FB42CC" w:rsidRPr="007D3D4F" w14:paraId="10CEA901" w14:textId="77777777" w:rsidTr="008E4E2E">
        <w:trPr>
          <w:jc w:val="center"/>
        </w:trPr>
        <w:tc>
          <w:tcPr>
            <w:tcW w:w="0" w:type="auto"/>
            <w:shd w:val="clear" w:color="auto" w:fill="E7E6E6" w:themeFill="background2"/>
            <w:vAlign w:val="center"/>
          </w:tcPr>
          <w:p w14:paraId="13FCBF50"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62441EA0"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CEMAGRO BETON SRL</w:t>
            </w:r>
          </w:p>
          <w:p w14:paraId="6A57D3AA"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(Sat Sarighiol De Deal)</w:t>
            </w:r>
          </w:p>
        </w:tc>
        <w:tc>
          <w:tcPr>
            <w:tcW w:w="1761" w:type="pct"/>
            <w:shd w:val="clear" w:color="auto" w:fill="E7E6E6" w:themeFill="background2"/>
            <w:vAlign w:val="center"/>
          </w:tcPr>
          <w:p w14:paraId="465FFE0B"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Cod CAEN</w:t>
            </w:r>
            <w:r w:rsidRPr="007D3D4F">
              <w:rPr>
                <w:rFonts w:ascii="Times New Roman" w:hAnsi="Times New Roman" w:cs="Times New Roman"/>
                <w:b/>
                <w:bCs/>
                <w:sz w:val="20"/>
                <w:szCs w:val="20"/>
              </w:rPr>
              <w:tab/>
            </w:r>
          </w:p>
          <w:p w14:paraId="6BA1CB4D"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2363 Rev. 2  (similar 2363 Rev. 3)</w:t>
            </w:r>
          </w:p>
          <w:p w14:paraId="39014AF9"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Obiect Activitate</w:t>
            </w:r>
          </w:p>
          <w:p w14:paraId="01A611FF"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Fabricarea betonului</w:t>
            </w:r>
          </w:p>
        </w:tc>
        <w:tc>
          <w:tcPr>
            <w:tcW w:w="702" w:type="pct"/>
            <w:shd w:val="clear" w:color="auto" w:fill="E7E6E6" w:themeFill="background2"/>
            <w:vAlign w:val="center"/>
          </w:tcPr>
          <w:p w14:paraId="5B0D0773"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225.957.926</w:t>
            </w:r>
          </w:p>
        </w:tc>
        <w:tc>
          <w:tcPr>
            <w:tcW w:w="0" w:type="auto"/>
            <w:shd w:val="clear" w:color="auto" w:fill="E7E6E6" w:themeFill="background2"/>
            <w:vAlign w:val="center"/>
          </w:tcPr>
          <w:p w14:paraId="1DE3C03D"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8.504.332</w:t>
            </w:r>
          </w:p>
        </w:tc>
        <w:tc>
          <w:tcPr>
            <w:tcW w:w="0" w:type="auto"/>
            <w:shd w:val="clear" w:color="auto" w:fill="E7E6E6" w:themeFill="background2"/>
            <w:vAlign w:val="center"/>
          </w:tcPr>
          <w:p w14:paraId="4552B3F5"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80</w:t>
            </w:r>
          </w:p>
        </w:tc>
      </w:tr>
      <w:tr w:rsidR="00FB42CC" w:rsidRPr="007D3D4F" w14:paraId="7EFC356C" w14:textId="77777777" w:rsidTr="008E4E2E">
        <w:trPr>
          <w:jc w:val="center"/>
        </w:trPr>
        <w:tc>
          <w:tcPr>
            <w:tcW w:w="0" w:type="auto"/>
            <w:shd w:val="clear" w:color="auto" w:fill="E7E6E6" w:themeFill="background2"/>
            <w:vAlign w:val="center"/>
          </w:tcPr>
          <w:p w14:paraId="63364D86"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3548F66E"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FERAL SRL</w:t>
            </w:r>
          </w:p>
          <w:p w14:paraId="4B22B141"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(Loc. Tulcea)</w:t>
            </w:r>
          </w:p>
        </w:tc>
        <w:tc>
          <w:tcPr>
            <w:tcW w:w="1761" w:type="pct"/>
            <w:shd w:val="clear" w:color="auto" w:fill="E7E6E6" w:themeFill="background2"/>
            <w:vAlign w:val="center"/>
          </w:tcPr>
          <w:p w14:paraId="0CF6D58C"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Cod CAEN</w:t>
            </w:r>
            <w:r w:rsidRPr="007D3D4F">
              <w:rPr>
                <w:rFonts w:ascii="Times New Roman" w:hAnsi="Times New Roman" w:cs="Times New Roman"/>
                <w:b/>
                <w:bCs/>
                <w:sz w:val="20"/>
                <w:szCs w:val="20"/>
              </w:rPr>
              <w:tab/>
            </w:r>
          </w:p>
          <w:p w14:paraId="746B018C"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2410 Rev. 2  (similar 2410 Rev. 3)</w:t>
            </w:r>
          </w:p>
          <w:p w14:paraId="48273FB6" w14:textId="77777777" w:rsidR="00FB42CC" w:rsidRPr="007D3D4F" w:rsidRDefault="00FB42CC" w:rsidP="00D44A1A">
            <w:pPr>
              <w:pStyle w:val="Smn"/>
              <w:spacing w:before="0" w:after="0"/>
              <w:contextualSpacing/>
              <w:jc w:val="left"/>
              <w:rPr>
                <w:rFonts w:ascii="Times New Roman" w:hAnsi="Times New Roman" w:cs="Times New Roman"/>
                <w:sz w:val="20"/>
                <w:szCs w:val="20"/>
              </w:rPr>
            </w:pPr>
          </w:p>
          <w:p w14:paraId="24C3F9AB" w14:textId="77777777" w:rsidR="00FB42CC" w:rsidRPr="007D3D4F" w:rsidRDefault="00FB42CC" w:rsidP="00D44A1A">
            <w:pPr>
              <w:pStyle w:val="Smn"/>
              <w:spacing w:before="0" w:after="0"/>
              <w:contextualSpacing/>
              <w:jc w:val="left"/>
              <w:rPr>
                <w:rFonts w:ascii="Times New Roman" w:hAnsi="Times New Roman" w:cs="Times New Roman"/>
                <w:b/>
                <w:bCs/>
                <w:sz w:val="20"/>
                <w:szCs w:val="20"/>
              </w:rPr>
            </w:pPr>
            <w:r w:rsidRPr="007D3D4F">
              <w:rPr>
                <w:rFonts w:ascii="Times New Roman" w:hAnsi="Times New Roman" w:cs="Times New Roman"/>
                <w:b/>
                <w:bCs/>
                <w:sz w:val="20"/>
                <w:szCs w:val="20"/>
              </w:rPr>
              <w:t>Obiect Activitate</w:t>
            </w:r>
            <w:r w:rsidRPr="007D3D4F">
              <w:rPr>
                <w:rFonts w:ascii="Times New Roman" w:hAnsi="Times New Roman" w:cs="Times New Roman"/>
                <w:b/>
                <w:bCs/>
                <w:sz w:val="20"/>
                <w:szCs w:val="20"/>
              </w:rPr>
              <w:tab/>
            </w:r>
          </w:p>
          <w:p w14:paraId="0D4DD2B7" w14:textId="77777777" w:rsidR="00FB42CC" w:rsidRPr="007D3D4F" w:rsidRDefault="00FB42CC" w:rsidP="00D44A1A">
            <w:pPr>
              <w:pStyle w:val="Smn"/>
              <w:spacing w:before="0" w:after="0"/>
              <w:contextualSpacing/>
              <w:jc w:val="left"/>
              <w:rPr>
                <w:rFonts w:ascii="Times New Roman" w:hAnsi="Times New Roman" w:cs="Times New Roman"/>
                <w:sz w:val="20"/>
                <w:szCs w:val="20"/>
              </w:rPr>
            </w:pPr>
            <w:r w:rsidRPr="007D3D4F">
              <w:rPr>
                <w:rFonts w:ascii="Times New Roman" w:hAnsi="Times New Roman" w:cs="Times New Roman"/>
                <w:sz w:val="20"/>
                <w:szCs w:val="20"/>
              </w:rPr>
              <w:t>Producția de metale feroase sub forme primare și de feroaliaje</w:t>
            </w:r>
          </w:p>
        </w:tc>
        <w:tc>
          <w:tcPr>
            <w:tcW w:w="702" w:type="pct"/>
            <w:shd w:val="clear" w:color="auto" w:fill="E7E6E6" w:themeFill="background2"/>
            <w:vAlign w:val="center"/>
          </w:tcPr>
          <w:p w14:paraId="7D9975CB"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201.709.399</w:t>
            </w:r>
          </w:p>
        </w:tc>
        <w:tc>
          <w:tcPr>
            <w:tcW w:w="0" w:type="auto"/>
            <w:shd w:val="clear" w:color="auto" w:fill="E7E6E6" w:themeFill="background2"/>
            <w:vAlign w:val="center"/>
          </w:tcPr>
          <w:p w14:paraId="0348D93F"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2.732.797</w:t>
            </w:r>
          </w:p>
        </w:tc>
        <w:tc>
          <w:tcPr>
            <w:tcW w:w="0" w:type="auto"/>
            <w:shd w:val="clear" w:color="auto" w:fill="E7E6E6" w:themeFill="background2"/>
            <w:vAlign w:val="center"/>
          </w:tcPr>
          <w:p w14:paraId="1CC2F9F7"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15</w:t>
            </w:r>
          </w:p>
        </w:tc>
      </w:tr>
      <w:tr w:rsidR="00FB42CC" w:rsidRPr="007D3D4F" w14:paraId="22B07C71" w14:textId="77777777" w:rsidTr="008E4E2E">
        <w:trPr>
          <w:jc w:val="center"/>
        </w:trPr>
        <w:tc>
          <w:tcPr>
            <w:tcW w:w="0" w:type="auto"/>
            <w:shd w:val="clear" w:color="auto" w:fill="E7E6E6" w:themeFill="background2"/>
            <w:vAlign w:val="center"/>
          </w:tcPr>
          <w:p w14:paraId="2C9A6606"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3A48BC56"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CORAL SRL</w:t>
            </w:r>
          </w:p>
          <w:p w14:paraId="136E0603"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(Loc. Tulcea)</w:t>
            </w:r>
          </w:p>
        </w:tc>
        <w:tc>
          <w:tcPr>
            <w:tcW w:w="1761" w:type="pct"/>
            <w:shd w:val="clear" w:color="auto" w:fill="E7E6E6" w:themeFill="background2"/>
            <w:vAlign w:val="center"/>
          </w:tcPr>
          <w:p w14:paraId="7EE96199"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Cod CAEN</w:t>
            </w:r>
            <w:r w:rsidRPr="007D3D4F">
              <w:rPr>
                <w:rFonts w:ascii="Times New Roman" w:hAnsi="Times New Roman" w:cs="Times New Roman"/>
                <w:b/>
                <w:bCs/>
                <w:sz w:val="20"/>
                <w:szCs w:val="20"/>
              </w:rPr>
              <w:tab/>
            </w:r>
          </w:p>
          <w:p w14:paraId="5A5239D8"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 xml:space="preserve">4120 Rev. 2  </w:t>
            </w:r>
          </w:p>
          <w:p w14:paraId="1F81F8B3"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(similar 9130,4100,4399 Rev. 3)</w:t>
            </w:r>
          </w:p>
          <w:p w14:paraId="582EADB6"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Obiect Activitate</w:t>
            </w:r>
          </w:p>
          <w:p w14:paraId="11CB1249"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Lucrări de construcţii a clădirilor rezidențiale și nerezidențiale</w:t>
            </w:r>
          </w:p>
        </w:tc>
        <w:tc>
          <w:tcPr>
            <w:tcW w:w="702" w:type="pct"/>
            <w:shd w:val="clear" w:color="auto" w:fill="E7E6E6" w:themeFill="background2"/>
            <w:vAlign w:val="center"/>
          </w:tcPr>
          <w:p w14:paraId="368934F7"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198.029.774</w:t>
            </w:r>
          </w:p>
        </w:tc>
        <w:tc>
          <w:tcPr>
            <w:tcW w:w="0" w:type="auto"/>
            <w:shd w:val="clear" w:color="auto" w:fill="E7E6E6" w:themeFill="background2"/>
            <w:vAlign w:val="center"/>
          </w:tcPr>
          <w:p w14:paraId="48C1B548"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16.963.260</w:t>
            </w:r>
          </w:p>
        </w:tc>
        <w:tc>
          <w:tcPr>
            <w:tcW w:w="0" w:type="auto"/>
            <w:shd w:val="clear" w:color="auto" w:fill="E7E6E6" w:themeFill="background2"/>
            <w:vAlign w:val="center"/>
          </w:tcPr>
          <w:p w14:paraId="4A5464EC"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171</w:t>
            </w:r>
          </w:p>
        </w:tc>
      </w:tr>
      <w:tr w:rsidR="00FB42CC" w:rsidRPr="007D3D4F" w14:paraId="6C030E82" w14:textId="77777777" w:rsidTr="008E4E2E">
        <w:trPr>
          <w:jc w:val="center"/>
        </w:trPr>
        <w:tc>
          <w:tcPr>
            <w:tcW w:w="0" w:type="auto"/>
            <w:shd w:val="clear" w:color="auto" w:fill="E7E6E6" w:themeFill="background2"/>
            <w:vAlign w:val="center"/>
          </w:tcPr>
          <w:p w14:paraId="67A2B232"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679B1C60"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WALDEVAR ENERGY SRL</w:t>
            </w:r>
          </w:p>
          <w:p w14:paraId="449C8483"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(Loc. Tulcea)</w:t>
            </w:r>
          </w:p>
        </w:tc>
        <w:tc>
          <w:tcPr>
            <w:tcW w:w="1761" w:type="pct"/>
            <w:shd w:val="clear" w:color="auto" w:fill="E7E6E6" w:themeFill="background2"/>
            <w:vAlign w:val="center"/>
          </w:tcPr>
          <w:p w14:paraId="4394762C"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Cod CAEN</w:t>
            </w:r>
            <w:r w:rsidRPr="007D3D4F">
              <w:rPr>
                <w:rFonts w:ascii="Times New Roman" w:hAnsi="Times New Roman" w:cs="Times New Roman"/>
                <w:b/>
                <w:bCs/>
                <w:sz w:val="20"/>
                <w:szCs w:val="20"/>
              </w:rPr>
              <w:tab/>
            </w:r>
          </w:p>
          <w:p w14:paraId="318654FF"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4211 Rev. 2  (similar 4350,4211 Rev. 3)</w:t>
            </w:r>
          </w:p>
          <w:p w14:paraId="09777A68"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Obiect Activitate</w:t>
            </w:r>
            <w:r w:rsidRPr="007D3D4F">
              <w:rPr>
                <w:rFonts w:ascii="Times New Roman" w:hAnsi="Times New Roman" w:cs="Times New Roman"/>
                <w:b/>
                <w:bCs/>
                <w:sz w:val="20"/>
                <w:szCs w:val="20"/>
              </w:rPr>
              <w:tab/>
            </w:r>
          </w:p>
          <w:p w14:paraId="479F8AFF"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Lucrări de construcţii a drumurilor și autostrăzilor</w:t>
            </w:r>
          </w:p>
        </w:tc>
        <w:tc>
          <w:tcPr>
            <w:tcW w:w="702" w:type="pct"/>
            <w:shd w:val="clear" w:color="auto" w:fill="E7E6E6" w:themeFill="background2"/>
            <w:vAlign w:val="center"/>
          </w:tcPr>
          <w:p w14:paraId="4EA440B6"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190.067.130</w:t>
            </w:r>
          </w:p>
        </w:tc>
        <w:tc>
          <w:tcPr>
            <w:tcW w:w="0" w:type="auto"/>
            <w:shd w:val="clear" w:color="auto" w:fill="E7E6E6" w:themeFill="background2"/>
            <w:vAlign w:val="center"/>
          </w:tcPr>
          <w:p w14:paraId="0E536B6C"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20.064.953</w:t>
            </w:r>
          </w:p>
        </w:tc>
        <w:tc>
          <w:tcPr>
            <w:tcW w:w="0" w:type="auto"/>
            <w:shd w:val="clear" w:color="auto" w:fill="E7E6E6" w:themeFill="background2"/>
            <w:vAlign w:val="center"/>
          </w:tcPr>
          <w:p w14:paraId="314CD7E4"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504</w:t>
            </w:r>
          </w:p>
        </w:tc>
      </w:tr>
      <w:tr w:rsidR="00FB42CC" w:rsidRPr="007D3D4F" w14:paraId="5DDC36E3" w14:textId="77777777" w:rsidTr="008E4E2E">
        <w:trPr>
          <w:jc w:val="center"/>
        </w:trPr>
        <w:tc>
          <w:tcPr>
            <w:tcW w:w="0" w:type="auto"/>
            <w:shd w:val="clear" w:color="auto" w:fill="E7E6E6" w:themeFill="background2"/>
            <w:vAlign w:val="center"/>
          </w:tcPr>
          <w:p w14:paraId="4C507268"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4541F040"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LIDAS SRL</w:t>
            </w:r>
          </w:p>
          <w:p w14:paraId="0DAA9361"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(Sat Mineri)</w:t>
            </w:r>
          </w:p>
        </w:tc>
        <w:tc>
          <w:tcPr>
            <w:tcW w:w="1761" w:type="pct"/>
            <w:shd w:val="clear" w:color="auto" w:fill="E7E6E6" w:themeFill="background2"/>
            <w:vAlign w:val="center"/>
          </w:tcPr>
          <w:p w14:paraId="63E4B8B1"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Cod CAEN</w:t>
            </w:r>
            <w:r w:rsidRPr="007D3D4F">
              <w:rPr>
                <w:rFonts w:ascii="Times New Roman" w:hAnsi="Times New Roman" w:cs="Times New Roman"/>
                <w:b/>
                <w:bCs/>
                <w:sz w:val="20"/>
                <w:szCs w:val="20"/>
              </w:rPr>
              <w:tab/>
            </w:r>
          </w:p>
          <w:p w14:paraId="588E50F1"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1071 Rev. 2  (similar 1071 Rev. 3)</w:t>
            </w:r>
          </w:p>
          <w:p w14:paraId="66C403F1"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Obiect Activitate</w:t>
            </w:r>
          </w:p>
          <w:p w14:paraId="08D81EF4"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lastRenderedPageBreak/>
              <w:t>Fabricarea pâinii; fabricarea prăjiturilor și a produselor proaspete de patiserie</w:t>
            </w:r>
          </w:p>
        </w:tc>
        <w:tc>
          <w:tcPr>
            <w:tcW w:w="702" w:type="pct"/>
            <w:shd w:val="clear" w:color="auto" w:fill="E7E6E6" w:themeFill="background2"/>
            <w:vAlign w:val="center"/>
          </w:tcPr>
          <w:p w14:paraId="6628276B"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lastRenderedPageBreak/>
              <w:t>186.000.082</w:t>
            </w:r>
          </w:p>
        </w:tc>
        <w:tc>
          <w:tcPr>
            <w:tcW w:w="0" w:type="auto"/>
            <w:shd w:val="clear" w:color="auto" w:fill="E7E6E6" w:themeFill="background2"/>
            <w:vAlign w:val="center"/>
          </w:tcPr>
          <w:p w14:paraId="2D7D173A"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-32.297.327</w:t>
            </w:r>
          </w:p>
        </w:tc>
        <w:tc>
          <w:tcPr>
            <w:tcW w:w="0" w:type="auto"/>
            <w:shd w:val="clear" w:color="auto" w:fill="E7E6E6" w:themeFill="background2"/>
            <w:vAlign w:val="center"/>
          </w:tcPr>
          <w:p w14:paraId="32F0E05E"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577</w:t>
            </w:r>
          </w:p>
        </w:tc>
      </w:tr>
      <w:tr w:rsidR="00FB42CC" w:rsidRPr="007D3D4F" w14:paraId="564ADDA1" w14:textId="77777777" w:rsidTr="008E4E2E">
        <w:trPr>
          <w:jc w:val="center"/>
        </w:trPr>
        <w:tc>
          <w:tcPr>
            <w:tcW w:w="0" w:type="auto"/>
            <w:shd w:val="clear" w:color="auto" w:fill="E7E6E6" w:themeFill="background2"/>
            <w:vAlign w:val="center"/>
          </w:tcPr>
          <w:p w14:paraId="643279E7"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7F7B9225"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PREST GEO DAN SRL</w:t>
            </w:r>
          </w:p>
          <w:p w14:paraId="42A27F9D"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(Loc. Tulcea)</w:t>
            </w:r>
          </w:p>
        </w:tc>
        <w:tc>
          <w:tcPr>
            <w:tcW w:w="1761" w:type="pct"/>
            <w:shd w:val="clear" w:color="auto" w:fill="E7E6E6" w:themeFill="background2"/>
            <w:vAlign w:val="center"/>
          </w:tcPr>
          <w:p w14:paraId="6F0692B5"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Cod CAEN</w:t>
            </w:r>
            <w:r w:rsidRPr="007D3D4F">
              <w:rPr>
                <w:rFonts w:ascii="Times New Roman" w:hAnsi="Times New Roman" w:cs="Times New Roman"/>
                <w:b/>
                <w:bCs/>
                <w:sz w:val="20"/>
                <w:szCs w:val="20"/>
              </w:rPr>
              <w:tab/>
            </w:r>
          </w:p>
          <w:p w14:paraId="6A372070"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4621 Rev. 2  (similar 4621 Rev. 3)</w:t>
            </w:r>
          </w:p>
          <w:p w14:paraId="5FE45E19"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Obiect Activitate</w:t>
            </w:r>
            <w:r w:rsidRPr="007D3D4F">
              <w:rPr>
                <w:rFonts w:ascii="Times New Roman" w:hAnsi="Times New Roman" w:cs="Times New Roman"/>
                <w:b/>
                <w:bCs/>
                <w:sz w:val="20"/>
                <w:szCs w:val="20"/>
              </w:rPr>
              <w:tab/>
            </w:r>
          </w:p>
          <w:p w14:paraId="56FAD71F"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Comerț cu ridicata al cerealelor, semințelor, furajelor și tutunului neprelucrat</w:t>
            </w:r>
          </w:p>
        </w:tc>
        <w:tc>
          <w:tcPr>
            <w:tcW w:w="702" w:type="pct"/>
            <w:shd w:val="clear" w:color="auto" w:fill="E7E6E6" w:themeFill="background2"/>
            <w:vAlign w:val="center"/>
          </w:tcPr>
          <w:p w14:paraId="701BABA2"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166.205.165</w:t>
            </w:r>
          </w:p>
        </w:tc>
        <w:tc>
          <w:tcPr>
            <w:tcW w:w="0" w:type="auto"/>
            <w:shd w:val="clear" w:color="auto" w:fill="E7E6E6" w:themeFill="background2"/>
            <w:vAlign w:val="center"/>
          </w:tcPr>
          <w:p w14:paraId="70944ADA"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3.110.456</w:t>
            </w:r>
          </w:p>
        </w:tc>
        <w:tc>
          <w:tcPr>
            <w:tcW w:w="0" w:type="auto"/>
            <w:shd w:val="clear" w:color="auto" w:fill="E7E6E6" w:themeFill="background2"/>
            <w:vAlign w:val="center"/>
          </w:tcPr>
          <w:p w14:paraId="040887B5"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70</w:t>
            </w:r>
          </w:p>
        </w:tc>
      </w:tr>
      <w:tr w:rsidR="00FB42CC" w:rsidRPr="007D3D4F" w14:paraId="3C03FA31" w14:textId="77777777" w:rsidTr="008E4E2E">
        <w:trPr>
          <w:jc w:val="center"/>
        </w:trPr>
        <w:tc>
          <w:tcPr>
            <w:tcW w:w="0" w:type="auto"/>
            <w:shd w:val="clear" w:color="auto" w:fill="E7E6E6" w:themeFill="background2"/>
            <w:vAlign w:val="center"/>
          </w:tcPr>
          <w:p w14:paraId="11255025" w14:textId="77777777" w:rsidR="00FB42CC" w:rsidRPr="007D3D4F" w:rsidRDefault="00FB42CC" w:rsidP="00D81598">
            <w:pPr>
              <w:pStyle w:val="Smn"/>
              <w:numPr>
                <w:ilvl w:val="0"/>
                <w:numId w:val="29"/>
              </w:numPr>
              <w:spacing w:before="0" w:after="0"/>
              <w:ind w:left="470" w:hanging="357"/>
              <w:contextualSpacing/>
              <w:jc w:val="center"/>
              <w:rPr>
                <w:rFonts w:ascii="Times New Roman" w:hAnsi="Times New Roman" w:cs="Times New Roman"/>
                <w:sz w:val="20"/>
                <w:szCs w:val="20"/>
              </w:rPr>
            </w:pPr>
          </w:p>
        </w:tc>
        <w:tc>
          <w:tcPr>
            <w:tcW w:w="886" w:type="pct"/>
            <w:shd w:val="clear" w:color="auto" w:fill="E7E6E6" w:themeFill="background2"/>
            <w:vAlign w:val="center"/>
          </w:tcPr>
          <w:p w14:paraId="5F804912" w14:textId="77777777" w:rsidR="00FB42CC" w:rsidRPr="007D3D4F" w:rsidRDefault="00FB42CC" w:rsidP="00D44A1A">
            <w:pPr>
              <w:pStyle w:val="Smn"/>
              <w:spacing w:before="0" w:after="0"/>
              <w:contextualSpacing/>
              <w:jc w:val="center"/>
              <w:rPr>
                <w:rFonts w:ascii="Times New Roman" w:hAnsi="Times New Roman" w:cs="Times New Roman"/>
                <w:b/>
                <w:bCs/>
                <w:sz w:val="20"/>
                <w:szCs w:val="20"/>
              </w:rPr>
            </w:pPr>
            <w:r w:rsidRPr="007D3D4F">
              <w:rPr>
                <w:rFonts w:ascii="Times New Roman" w:hAnsi="Times New Roman" w:cs="Times New Roman"/>
                <w:b/>
                <w:bCs/>
                <w:sz w:val="20"/>
                <w:szCs w:val="20"/>
              </w:rPr>
              <w:t>VARD ELECTRO ROMANIA SRL</w:t>
            </w:r>
          </w:p>
        </w:tc>
        <w:tc>
          <w:tcPr>
            <w:tcW w:w="1761" w:type="pct"/>
            <w:shd w:val="clear" w:color="auto" w:fill="E7E6E6" w:themeFill="background2"/>
            <w:vAlign w:val="center"/>
          </w:tcPr>
          <w:p w14:paraId="57802921"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Cod CAEN</w:t>
            </w:r>
          </w:p>
          <w:p w14:paraId="6AB6BEE9"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3011 Rev. 2  (similar 3011,3013 Rev. 3)</w:t>
            </w:r>
          </w:p>
          <w:p w14:paraId="7FC6EE5F" w14:textId="77777777" w:rsidR="00FB42CC" w:rsidRPr="007D3D4F" w:rsidRDefault="00FB42CC" w:rsidP="00D44A1A">
            <w:pPr>
              <w:pStyle w:val="Smn"/>
              <w:spacing w:before="0" w:after="0"/>
              <w:contextualSpacing/>
              <w:rPr>
                <w:rFonts w:ascii="Times New Roman" w:hAnsi="Times New Roman" w:cs="Times New Roman"/>
                <w:b/>
                <w:bCs/>
                <w:sz w:val="20"/>
                <w:szCs w:val="20"/>
              </w:rPr>
            </w:pPr>
            <w:r w:rsidRPr="007D3D4F">
              <w:rPr>
                <w:rFonts w:ascii="Times New Roman" w:hAnsi="Times New Roman" w:cs="Times New Roman"/>
                <w:b/>
                <w:bCs/>
                <w:sz w:val="20"/>
                <w:szCs w:val="20"/>
              </w:rPr>
              <w:t>Obiect Activitate</w:t>
            </w:r>
            <w:r w:rsidRPr="007D3D4F">
              <w:rPr>
                <w:rFonts w:ascii="Times New Roman" w:hAnsi="Times New Roman" w:cs="Times New Roman"/>
                <w:b/>
                <w:bCs/>
                <w:sz w:val="20"/>
                <w:szCs w:val="20"/>
              </w:rPr>
              <w:tab/>
            </w:r>
          </w:p>
          <w:p w14:paraId="0DB3AAC6" w14:textId="77777777" w:rsidR="00FB42CC" w:rsidRPr="007D3D4F" w:rsidRDefault="00FB42CC" w:rsidP="00D44A1A">
            <w:pPr>
              <w:pStyle w:val="Smn"/>
              <w:spacing w:before="0" w:after="0"/>
              <w:contextualSpacing/>
              <w:rPr>
                <w:rFonts w:ascii="Times New Roman" w:hAnsi="Times New Roman" w:cs="Times New Roman"/>
                <w:sz w:val="20"/>
                <w:szCs w:val="20"/>
              </w:rPr>
            </w:pPr>
            <w:r w:rsidRPr="007D3D4F">
              <w:rPr>
                <w:rFonts w:ascii="Times New Roman" w:hAnsi="Times New Roman" w:cs="Times New Roman"/>
                <w:sz w:val="20"/>
                <w:szCs w:val="20"/>
              </w:rPr>
              <w:t>Construcţia de nave și structuri plutitoare</w:t>
            </w:r>
          </w:p>
        </w:tc>
        <w:tc>
          <w:tcPr>
            <w:tcW w:w="702" w:type="pct"/>
            <w:shd w:val="clear" w:color="auto" w:fill="E7E6E6" w:themeFill="background2"/>
            <w:vAlign w:val="center"/>
          </w:tcPr>
          <w:p w14:paraId="40AB35F0"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164.008.332</w:t>
            </w:r>
          </w:p>
        </w:tc>
        <w:tc>
          <w:tcPr>
            <w:tcW w:w="0" w:type="auto"/>
            <w:shd w:val="clear" w:color="auto" w:fill="E7E6E6" w:themeFill="background2"/>
            <w:vAlign w:val="center"/>
          </w:tcPr>
          <w:p w14:paraId="03410106"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14.303.430</w:t>
            </w:r>
          </w:p>
        </w:tc>
        <w:tc>
          <w:tcPr>
            <w:tcW w:w="0" w:type="auto"/>
            <w:shd w:val="clear" w:color="auto" w:fill="E7E6E6" w:themeFill="background2"/>
            <w:vAlign w:val="center"/>
          </w:tcPr>
          <w:p w14:paraId="6FD0E592" w14:textId="77777777" w:rsidR="00FB42CC" w:rsidRPr="007D3D4F" w:rsidRDefault="00FB42CC" w:rsidP="00D44A1A">
            <w:pPr>
              <w:pStyle w:val="Smn"/>
              <w:spacing w:before="0" w:after="0"/>
              <w:contextualSpacing/>
              <w:jc w:val="center"/>
              <w:rPr>
                <w:rFonts w:ascii="Times New Roman" w:hAnsi="Times New Roman" w:cs="Times New Roman"/>
                <w:sz w:val="20"/>
                <w:szCs w:val="20"/>
              </w:rPr>
            </w:pPr>
            <w:r w:rsidRPr="007D3D4F">
              <w:rPr>
                <w:rFonts w:ascii="Times New Roman" w:hAnsi="Times New Roman" w:cs="Times New Roman"/>
                <w:sz w:val="20"/>
                <w:szCs w:val="20"/>
              </w:rPr>
              <w:t>308</w:t>
            </w:r>
          </w:p>
        </w:tc>
      </w:tr>
    </w:tbl>
    <w:p w14:paraId="442BD4F7" w14:textId="7FA206C9" w:rsidR="00FB42CC" w:rsidRPr="007D3D4F" w:rsidRDefault="00FB42CC" w:rsidP="004C072F">
      <w:pPr>
        <w:spacing w:before="120" w:after="120" w:line="240" w:lineRule="auto"/>
        <w:contextualSpacing/>
        <w:rPr>
          <w:rFonts w:ascii="Times New Roman" w:hAnsi="Times New Roman" w:cs="Times New Roman"/>
          <w:b/>
          <w:bCs/>
        </w:rPr>
      </w:pPr>
    </w:p>
    <w:p w14:paraId="27A0960C" w14:textId="0F9F0A06" w:rsidR="00583D8F" w:rsidRPr="007D3D4F" w:rsidRDefault="00D44A1A" w:rsidP="00D81598">
      <w:pPr>
        <w:pStyle w:val="Smn"/>
        <w:numPr>
          <w:ilvl w:val="0"/>
          <w:numId w:val="28"/>
        </w:numPr>
        <w:contextualSpacing/>
        <w:rPr>
          <w:rFonts w:ascii="Times New Roman" w:hAnsi="Times New Roman" w:cs="Times New Roman"/>
          <w:i/>
          <w:iCs/>
          <w:color w:val="auto"/>
          <w:sz w:val="22"/>
          <w:szCs w:val="22"/>
        </w:rPr>
      </w:pPr>
      <w:r w:rsidRPr="007D3D4F">
        <w:rPr>
          <w:rFonts w:ascii="Times New Roman" w:hAnsi="Times New Roman" w:cs="Times New Roman"/>
          <w:i/>
          <w:iCs/>
          <w:color w:val="auto"/>
          <w:sz w:val="22"/>
          <w:szCs w:val="22"/>
        </w:rPr>
        <w:t xml:space="preserve">Capitolul 3, subcapitolul </w:t>
      </w:r>
      <w:bookmarkStart w:id="12" w:name="_Toc205367503"/>
      <w:r w:rsidR="00583D8F" w:rsidRPr="007D3D4F">
        <w:rPr>
          <w:rFonts w:ascii="Times New Roman" w:hAnsi="Times New Roman" w:cs="Times New Roman"/>
          <w:i/>
          <w:iCs/>
          <w:color w:val="auto"/>
          <w:sz w:val="22"/>
          <w:szCs w:val="22"/>
        </w:rPr>
        <w:t>3.4. Actori relevanți: autorități, transportatori, ONG-uri, industrie</w:t>
      </w:r>
      <w:bookmarkEnd w:id="12"/>
    </w:p>
    <w:p w14:paraId="7CDE5362" w14:textId="63C1A1A7" w:rsidR="00583D8F" w:rsidRPr="007D3D4F" w:rsidRDefault="00583D8F" w:rsidP="004C072F">
      <w:pPr>
        <w:pStyle w:val="Legend"/>
        <w:spacing w:before="120" w:after="120"/>
        <w:contextualSpacing/>
        <w:jc w:val="center"/>
        <w:rPr>
          <w:rFonts w:ascii="Times New Roman" w:hAnsi="Times New Roman" w:cs="Times New Roman"/>
          <w:b/>
          <w:bCs/>
          <w:i w:val="0"/>
          <w:iCs w:val="0"/>
          <w:color w:val="auto"/>
          <w:sz w:val="22"/>
          <w:szCs w:val="22"/>
        </w:rPr>
      </w:pPr>
      <w:r w:rsidRPr="007D3D4F">
        <w:rPr>
          <w:rFonts w:ascii="Times New Roman" w:hAnsi="Times New Roman" w:cs="Times New Roman"/>
          <w:b/>
          <w:bCs/>
          <w:i w:val="0"/>
          <w:iCs w:val="0"/>
          <w:color w:val="auto"/>
          <w:sz w:val="22"/>
          <w:szCs w:val="22"/>
        </w:rPr>
        <w:t xml:space="preserve">Tabelul nr. </w:t>
      </w:r>
      <w:r w:rsidRPr="007D3D4F">
        <w:rPr>
          <w:rFonts w:ascii="Times New Roman" w:hAnsi="Times New Roman" w:cs="Times New Roman"/>
          <w:b/>
          <w:bCs/>
          <w:i w:val="0"/>
          <w:iCs w:val="0"/>
          <w:color w:val="auto"/>
          <w:sz w:val="22"/>
          <w:szCs w:val="22"/>
        </w:rPr>
        <w:fldChar w:fldCharType="begin"/>
      </w:r>
      <w:r w:rsidRPr="007D3D4F">
        <w:rPr>
          <w:rFonts w:ascii="Times New Roman" w:hAnsi="Times New Roman" w:cs="Times New Roman"/>
          <w:b/>
          <w:bCs/>
          <w:i w:val="0"/>
          <w:iCs w:val="0"/>
          <w:color w:val="auto"/>
          <w:sz w:val="22"/>
          <w:szCs w:val="22"/>
        </w:rPr>
        <w:instrText xml:space="preserve"> SEQ Tabelul_nr. \* ARABIC </w:instrText>
      </w:r>
      <w:r w:rsidRPr="007D3D4F">
        <w:rPr>
          <w:rFonts w:ascii="Times New Roman" w:hAnsi="Times New Roman" w:cs="Times New Roman"/>
          <w:b/>
          <w:bCs/>
          <w:i w:val="0"/>
          <w:iCs w:val="0"/>
          <w:color w:val="auto"/>
          <w:sz w:val="22"/>
          <w:szCs w:val="22"/>
        </w:rPr>
        <w:fldChar w:fldCharType="separate"/>
      </w:r>
      <w:r w:rsidR="00D27FB3">
        <w:rPr>
          <w:rFonts w:ascii="Times New Roman" w:hAnsi="Times New Roman" w:cs="Times New Roman"/>
          <w:b/>
          <w:bCs/>
          <w:i w:val="0"/>
          <w:iCs w:val="0"/>
          <w:noProof/>
          <w:color w:val="auto"/>
          <w:sz w:val="22"/>
          <w:szCs w:val="22"/>
        </w:rPr>
        <w:t>9</w:t>
      </w:r>
      <w:r w:rsidRPr="007D3D4F">
        <w:rPr>
          <w:rFonts w:ascii="Times New Roman" w:hAnsi="Times New Roman" w:cs="Times New Roman"/>
          <w:b/>
          <w:bCs/>
          <w:i w:val="0"/>
          <w:iCs w:val="0"/>
          <w:color w:val="auto"/>
          <w:sz w:val="22"/>
          <w:szCs w:val="22"/>
        </w:rPr>
        <w:fldChar w:fldCharType="end"/>
      </w:r>
      <w:r w:rsidRPr="007D3D4F">
        <w:rPr>
          <w:rFonts w:ascii="Times New Roman" w:hAnsi="Times New Roman" w:cs="Times New Roman"/>
          <w:b/>
          <w:bCs/>
          <w:i w:val="0"/>
          <w:iCs w:val="0"/>
          <w:color w:val="auto"/>
          <w:sz w:val="22"/>
          <w:szCs w:val="22"/>
        </w:rPr>
        <w:t>:</w:t>
      </w:r>
      <w:r w:rsidRPr="007D3D4F">
        <w:rPr>
          <w:rFonts w:ascii="Times New Roman" w:hAnsi="Times New Roman" w:cs="Times New Roman"/>
          <w:sz w:val="22"/>
          <w:szCs w:val="22"/>
        </w:rPr>
        <w:t xml:space="preserve"> </w:t>
      </w:r>
      <w:r w:rsidRPr="007D3D4F">
        <w:rPr>
          <w:rFonts w:ascii="Times New Roman" w:hAnsi="Times New Roman" w:cs="Times New Roman"/>
          <w:b/>
          <w:bCs/>
          <w:i w:val="0"/>
          <w:iCs w:val="0"/>
          <w:color w:val="auto"/>
          <w:sz w:val="22"/>
          <w:szCs w:val="22"/>
        </w:rPr>
        <w:t>Lista operatorilor autorizați care desfășoară activități de transport public de pasageri și/sau mărfuri pe căi navigabile interioare în județul Tulcea</w:t>
      </w:r>
    </w:p>
    <w:tbl>
      <w:tblPr>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7E6E6" w:themeFill="background2"/>
        <w:tblLayout w:type="fixed"/>
        <w:tblLook w:val="04A0" w:firstRow="1" w:lastRow="0" w:firstColumn="1" w:lastColumn="0" w:noHBand="0" w:noVBand="1"/>
      </w:tblPr>
      <w:tblGrid>
        <w:gridCol w:w="686"/>
        <w:gridCol w:w="1559"/>
        <w:gridCol w:w="2552"/>
        <w:gridCol w:w="4517"/>
      </w:tblGrid>
      <w:tr w:rsidR="00583D8F" w:rsidRPr="007D3D4F" w14:paraId="385ECE83" w14:textId="77777777" w:rsidTr="008E4E2E">
        <w:trPr>
          <w:tblHeader/>
          <w:jc w:val="center"/>
        </w:trPr>
        <w:tc>
          <w:tcPr>
            <w:tcW w:w="368" w:type="pct"/>
            <w:shd w:val="clear" w:color="auto" w:fill="3B3838" w:themeFill="background2" w:themeFillShade="40"/>
            <w:vAlign w:val="center"/>
          </w:tcPr>
          <w:p w14:paraId="7831E09E" w14:textId="77777777" w:rsidR="00583D8F" w:rsidRPr="007D3D4F" w:rsidRDefault="00583D8F"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Nr. Crt.</w:t>
            </w:r>
          </w:p>
        </w:tc>
        <w:tc>
          <w:tcPr>
            <w:tcW w:w="837" w:type="pct"/>
            <w:shd w:val="clear" w:color="auto" w:fill="3B3838" w:themeFill="background2" w:themeFillShade="40"/>
            <w:noWrap/>
            <w:vAlign w:val="center"/>
            <w:hideMark/>
          </w:tcPr>
          <w:p w14:paraId="2C82FDB8" w14:textId="77777777" w:rsidR="00583D8F" w:rsidRPr="007D3D4F" w:rsidRDefault="00583D8F"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Serie Autorizație</w:t>
            </w:r>
          </w:p>
        </w:tc>
        <w:tc>
          <w:tcPr>
            <w:tcW w:w="1370" w:type="pct"/>
            <w:shd w:val="clear" w:color="auto" w:fill="3B3838" w:themeFill="background2" w:themeFillShade="40"/>
            <w:noWrap/>
            <w:vAlign w:val="center"/>
            <w:hideMark/>
          </w:tcPr>
          <w:p w14:paraId="384C3A1C" w14:textId="77777777" w:rsidR="00583D8F" w:rsidRPr="007D3D4F" w:rsidRDefault="00583D8F"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Denumire Operator</w:t>
            </w:r>
          </w:p>
        </w:tc>
        <w:tc>
          <w:tcPr>
            <w:tcW w:w="2425" w:type="pct"/>
            <w:shd w:val="clear" w:color="auto" w:fill="3B3838" w:themeFill="background2" w:themeFillShade="40"/>
            <w:noWrap/>
            <w:vAlign w:val="center"/>
            <w:hideMark/>
          </w:tcPr>
          <w:p w14:paraId="5F5E1BD6" w14:textId="77777777" w:rsidR="00583D8F" w:rsidRPr="007D3D4F" w:rsidRDefault="00583D8F" w:rsidP="00D44A1A">
            <w:pPr>
              <w:spacing w:after="0" w:line="240" w:lineRule="auto"/>
              <w:contextualSpacing/>
              <w:jc w:val="center"/>
              <w:rPr>
                <w:rFonts w:ascii="Times New Roman" w:eastAsia="Times New Roman" w:hAnsi="Times New Roman" w:cs="Times New Roman"/>
                <w:b/>
                <w:bCs/>
                <w:color w:val="FFFFFF" w:themeColor="background1"/>
                <w:kern w:val="0"/>
                <w:sz w:val="20"/>
                <w:szCs w:val="20"/>
                <w:lang w:eastAsia="en-GB"/>
                <w14:ligatures w14:val="none"/>
              </w:rPr>
            </w:pPr>
            <w:r w:rsidRPr="007D3D4F">
              <w:rPr>
                <w:rFonts w:ascii="Times New Roman" w:eastAsia="Times New Roman" w:hAnsi="Times New Roman" w:cs="Times New Roman"/>
                <w:b/>
                <w:bCs/>
                <w:color w:val="FFFFFF" w:themeColor="background1"/>
                <w:kern w:val="0"/>
                <w:sz w:val="20"/>
                <w:szCs w:val="20"/>
                <w:lang w:eastAsia="en-GB"/>
                <w14:ligatures w14:val="none"/>
              </w:rPr>
              <w:t>Activitate</w:t>
            </w:r>
          </w:p>
        </w:tc>
      </w:tr>
      <w:tr w:rsidR="00583D8F" w:rsidRPr="007D3D4F" w14:paraId="7E9BA20E" w14:textId="77777777" w:rsidTr="008E4E2E">
        <w:trPr>
          <w:jc w:val="center"/>
        </w:trPr>
        <w:tc>
          <w:tcPr>
            <w:tcW w:w="368" w:type="pct"/>
            <w:shd w:val="clear" w:color="auto" w:fill="E7E6E6" w:themeFill="background2"/>
            <w:vAlign w:val="center"/>
          </w:tcPr>
          <w:p w14:paraId="28255567"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3B4A13C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109 TL</w:t>
            </w:r>
          </w:p>
        </w:tc>
        <w:tc>
          <w:tcPr>
            <w:tcW w:w="1370" w:type="pct"/>
            <w:shd w:val="clear" w:color="auto" w:fill="E7E6E6" w:themeFill="background2"/>
            <w:noWrap/>
            <w:vAlign w:val="center"/>
            <w:hideMark/>
          </w:tcPr>
          <w:p w14:paraId="23E59E73"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ARLECHIN SRL TULCEA</w:t>
            </w:r>
          </w:p>
        </w:tc>
        <w:tc>
          <w:tcPr>
            <w:tcW w:w="2425" w:type="pct"/>
            <w:shd w:val="clear" w:color="auto" w:fill="E7E6E6" w:themeFill="background2"/>
            <w:noWrap/>
            <w:vAlign w:val="center"/>
            <w:hideMark/>
          </w:tcPr>
          <w:p w14:paraId="3AFC5D7F"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și mărfuri pe căi navigabile interioare</w:t>
            </w:r>
          </w:p>
        </w:tc>
      </w:tr>
      <w:tr w:rsidR="00583D8F" w:rsidRPr="007D3D4F" w14:paraId="70B80CC9" w14:textId="77777777" w:rsidTr="008E4E2E">
        <w:trPr>
          <w:jc w:val="center"/>
        </w:trPr>
        <w:tc>
          <w:tcPr>
            <w:tcW w:w="368" w:type="pct"/>
            <w:shd w:val="clear" w:color="auto" w:fill="E7E6E6" w:themeFill="background2"/>
            <w:vAlign w:val="center"/>
          </w:tcPr>
          <w:p w14:paraId="33A4F9E2"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5B13243F"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115 TL</w:t>
            </w:r>
          </w:p>
        </w:tc>
        <w:tc>
          <w:tcPr>
            <w:tcW w:w="1370" w:type="pct"/>
            <w:shd w:val="clear" w:color="auto" w:fill="E7E6E6" w:themeFill="background2"/>
            <w:noWrap/>
            <w:vAlign w:val="center"/>
            <w:hideMark/>
          </w:tcPr>
          <w:p w14:paraId="08627A3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AZIMUT SRL TULCEA</w:t>
            </w:r>
          </w:p>
        </w:tc>
        <w:tc>
          <w:tcPr>
            <w:tcW w:w="2425" w:type="pct"/>
            <w:shd w:val="clear" w:color="auto" w:fill="E7E6E6" w:themeFill="background2"/>
            <w:noWrap/>
            <w:vAlign w:val="center"/>
            <w:hideMark/>
          </w:tcPr>
          <w:p w14:paraId="44F7C7C8"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și mărfuri pe căi navigabile interioare</w:t>
            </w:r>
          </w:p>
        </w:tc>
      </w:tr>
      <w:tr w:rsidR="00583D8F" w:rsidRPr="007D3D4F" w14:paraId="2B028FA6" w14:textId="77777777" w:rsidTr="008E4E2E">
        <w:trPr>
          <w:jc w:val="center"/>
        </w:trPr>
        <w:tc>
          <w:tcPr>
            <w:tcW w:w="368" w:type="pct"/>
            <w:shd w:val="clear" w:color="auto" w:fill="E7E6E6" w:themeFill="background2"/>
            <w:vAlign w:val="center"/>
          </w:tcPr>
          <w:p w14:paraId="5FCF5FA6"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31953B0C"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95 TL</w:t>
            </w:r>
          </w:p>
        </w:tc>
        <w:tc>
          <w:tcPr>
            <w:tcW w:w="1370" w:type="pct"/>
            <w:shd w:val="clear" w:color="auto" w:fill="E7E6E6" w:themeFill="background2"/>
            <w:noWrap/>
            <w:vAlign w:val="center"/>
            <w:hideMark/>
          </w:tcPr>
          <w:p w14:paraId="450709BC"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CABINET MEDICAL DR NASTASE GEORGE MARIAN SRL SULINA</w:t>
            </w:r>
          </w:p>
        </w:tc>
        <w:tc>
          <w:tcPr>
            <w:tcW w:w="2425" w:type="pct"/>
            <w:shd w:val="clear" w:color="auto" w:fill="E7E6E6" w:themeFill="background2"/>
            <w:noWrap/>
            <w:vAlign w:val="center"/>
            <w:hideMark/>
          </w:tcPr>
          <w:p w14:paraId="3A0D4AFD"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1B314E5B" w14:textId="77777777" w:rsidTr="008E4E2E">
        <w:trPr>
          <w:jc w:val="center"/>
        </w:trPr>
        <w:tc>
          <w:tcPr>
            <w:tcW w:w="368" w:type="pct"/>
            <w:shd w:val="clear" w:color="auto" w:fill="E7E6E6" w:themeFill="background2"/>
            <w:vAlign w:val="center"/>
          </w:tcPr>
          <w:p w14:paraId="1C4D8E93"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66636AE0"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97 TL</w:t>
            </w:r>
          </w:p>
        </w:tc>
        <w:tc>
          <w:tcPr>
            <w:tcW w:w="1370" w:type="pct"/>
            <w:shd w:val="clear" w:color="auto" w:fill="E7E6E6" w:themeFill="background2"/>
            <w:noWrap/>
            <w:vAlign w:val="center"/>
            <w:hideMark/>
          </w:tcPr>
          <w:p w14:paraId="0F080C8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CASIAN VALENTIN PFA</w:t>
            </w:r>
          </w:p>
        </w:tc>
        <w:tc>
          <w:tcPr>
            <w:tcW w:w="2425" w:type="pct"/>
            <w:shd w:val="clear" w:color="auto" w:fill="E7E6E6" w:themeFill="background2"/>
            <w:noWrap/>
            <w:vAlign w:val="center"/>
            <w:hideMark/>
          </w:tcPr>
          <w:p w14:paraId="42D5B298"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01E2F5C8" w14:textId="77777777" w:rsidTr="008E4E2E">
        <w:trPr>
          <w:jc w:val="center"/>
        </w:trPr>
        <w:tc>
          <w:tcPr>
            <w:tcW w:w="368" w:type="pct"/>
            <w:shd w:val="clear" w:color="auto" w:fill="E7E6E6" w:themeFill="background2"/>
            <w:vAlign w:val="center"/>
          </w:tcPr>
          <w:p w14:paraId="4D97CA6E"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533DC1D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107 TL</w:t>
            </w:r>
          </w:p>
        </w:tc>
        <w:tc>
          <w:tcPr>
            <w:tcW w:w="1370" w:type="pct"/>
            <w:shd w:val="clear" w:color="auto" w:fill="E7E6E6" w:themeFill="background2"/>
            <w:noWrap/>
            <w:vAlign w:val="center"/>
            <w:hideMark/>
          </w:tcPr>
          <w:p w14:paraId="034233D2"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COMPLEX DELTA SRL TULCEA</w:t>
            </w:r>
          </w:p>
        </w:tc>
        <w:tc>
          <w:tcPr>
            <w:tcW w:w="2425" w:type="pct"/>
            <w:shd w:val="clear" w:color="auto" w:fill="E7E6E6" w:themeFill="background2"/>
            <w:noWrap/>
            <w:vAlign w:val="center"/>
            <w:hideMark/>
          </w:tcPr>
          <w:p w14:paraId="1DCAA32F"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și mărfuri pe căi navigabile interioare</w:t>
            </w:r>
          </w:p>
        </w:tc>
      </w:tr>
      <w:tr w:rsidR="00583D8F" w:rsidRPr="007D3D4F" w14:paraId="0628DFFA" w14:textId="77777777" w:rsidTr="008E4E2E">
        <w:trPr>
          <w:jc w:val="center"/>
        </w:trPr>
        <w:tc>
          <w:tcPr>
            <w:tcW w:w="368" w:type="pct"/>
            <w:shd w:val="clear" w:color="auto" w:fill="E7E6E6" w:themeFill="background2"/>
            <w:vAlign w:val="center"/>
          </w:tcPr>
          <w:p w14:paraId="7AFBAA82"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23C9278E"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88 TL</w:t>
            </w:r>
          </w:p>
        </w:tc>
        <w:tc>
          <w:tcPr>
            <w:tcW w:w="1370" w:type="pct"/>
            <w:shd w:val="clear" w:color="auto" w:fill="E7E6E6" w:themeFill="background2"/>
            <w:noWrap/>
            <w:vAlign w:val="center"/>
            <w:hideMark/>
          </w:tcPr>
          <w:p w14:paraId="76FF3365"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COSMICRIST SRL TULCEA</w:t>
            </w:r>
          </w:p>
        </w:tc>
        <w:tc>
          <w:tcPr>
            <w:tcW w:w="2425" w:type="pct"/>
            <w:shd w:val="clear" w:color="auto" w:fill="E7E6E6" w:themeFill="background2"/>
            <w:noWrap/>
            <w:vAlign w:val="center"/>
            <w:hideMark/>
          </w:tcPr>
          <w:p w14:paraId="3763AE7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22837908" w14:textId="77777777" w:rsidTr="008E4E2E">
        <w:trPr>
          <w:jc w:val="center"/>
        </w:trPr>
        <w:tc>
          <w:tcPr>
            <w:tcW w:w="368" w:type="pct"/>
            <w:shd w:val="clear" w:color="auto" w:fill="E7E6E6" w:themeFill="background2"/>
            <w:vAlign w:val="center"/>
          </w:tcPr>
          <w:p w14:paraId="69253E01"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54C89171"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99 TL</w:t>
            </w:r>
          </w:p>
        </w:tc>
        <w:tc>
          <w:tcPr>
            <w:tcW w:w="1370" w:type="pct"/>
            <w:shd w:val="clear" w:color="auto" w:fill="E7E6E6" w:themeFill="background2"/>
            <w:noWrap/>
            <w:vAlign w:val="center"/>
            <w:hideMark/>
          </w:tcPr>
          <w:p w14:paraId="2D80772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CREATIF ING CONSTRUCT SRL PRAHOVA</w:t>
            </w:r>
          </w:p>
        </w:tc>
        <w:tc>
          <w:tcPr>
            <w:tcW w:w="2425" w:type="pct"/>
            <w:shd w:val="clear" w:color="auto" w:fill="E7E6E6" w:themeFill="background2"/>
            <w:noWrap/>
            <w:vAlign w:val="center"/>
            <w:hideMark/>
          </w:tcPr>
          <w:p w14:paraId="34685B4D"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2BE890AD" w14:textId="77777777" w:rsidTr="008E4E2E">
        <w:trPr>
          <w:jc w:val="center"/>
        </w:trPr>
        <w:tc>
          <w:tcPr>
            <w:tcW w:w="368" w:type="pct"/>
            <w:shd w:val="clear" w:color="auto" w:fill="E7E6E6" w:themeFill="background2"/>
            <w:vAlign w:val="center"/>
          </w:tcPr>
          <w:p w14:paraId="28C6FC81"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74D1971C"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93 TL</w:t>
            </w:r>
          </w:p>
        </w:tc>
        <w:tc>
          <w:tcPr>
            <w:tcW w:w="1370" w:type="pct"/>
            <w:shd w:val="clear" w:color="auto" w:fill="E7E6E6" w:themeFill="background2"/>
            <w:noWrap/>
            <w:vAlign w:val="center"/>
            <w:hideMark/>
          </w:tcPr>
          <w:p w14:paraId="279EFA7E"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DANUBE DELTA CRUISES SRL TULCEA</w:t>
            </w:r>
          </w:p>
        </w:tc>
        <w:tc>
          <w:tcPr>
            <w:tcW w:w="2425" w:type="pct"/>
            <w:shd w:val="clear" w:color="auto" w:fill="E7E6E6" w:themeFill="background2"/>
            <w:noWrap/>
            <w:vAlign w:val="center"/>
            <w:hideMark/>
          </w:tcPr>
          <w:p w14:paraId="18FC8E3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și mărfuri pe căi navigabile interioare</w:t>
            </w:r>
          </w:p>
        </w:tc>
      </w:tr>
      <w:tr w:rsidR="00583D8F" w:rsidRPr="007D3D4F" w14:paraId="56C36DD0" w14:textId="77777777" w:rsidTr="008E4E2E">
        <w:trPr>
          <w:jc w:val="center"/>
        </w:trPr>
        <w:tc>
          <w:tcPr>
            <w:tcW w:w="368" w:type="pct"/>
            <w:shd w:val="clear" w:color="auto" w:fill="E7E6E6" w:themeFill="background2"/>
            <w:vAlign w:val="center"/>
          </w:tcPr>
          <w:p w14:paraId="1402F546"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5088294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87 TL</w:t>
            </w:r>
          </w:p>
        </w:tc>
        <w:tc>
          <w:tcPr>
            <w:tcW w:w="1370" w:type="pct"/>
            <w:shd w:val="clear" w:color="auto" w:fill="E7E6E6" w:themeFill="background2"/>
            <w:noWrap/>
            <w:vAlign w:val="center"/>
            <w:hideMark/>
          </w:tcPr>
          <w:p w14:paraId="12A4D1D4"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DELTA EXPLORER SRL BUCUREȘTI</w:t>
            </w:r>
          </w:p>
        </w:tc>
        <w:tc>
          <w:tcPr>
            <w:tcW w:w="2425" w:type="pct"/>
            <w:shd w:val="clear" w:color="auto" w:fill="E7E6E6" w:themeFill="background2"/>
            <w:noWrap/>
            <w:vAlign w:val="center"/>
            <w:hideMark/>
          </w:tcPr>
          <w:p w14:paraId="5812729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și mărfuri pe căi navigabile interioare</w:t>
            </w:r>
          </w:p>
        </w:tc>
      </w:tr>
      <w:tr w:rsidR="00583D8F" w:rsidRPr="007D3D4F" w14:paraId="7DBAAC94" w14:textId="77777777" w:rsidTr="008E4E2E">
        <w:trPr>
          <w:jc w:val="center"/>
        </w:trPr>
        <w:tc>
          <w:tcPr>
            <w:tcW w:w="368" w:type="pct"/>
            <w:shd w:val="clear" w:color="auto" w:fill="E7E6E6" w:themeFill="background2"/>
            <w:vAlign w:val="center"/>
          </w:tcPr>
          <w:p w14:paraId="2258A5AC"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3DD87A8C"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98 TL</w:t>
            </w:r>
          </w:p>
        </w:tc>
        <w:tc>
          <w:tcPr>
            <w:tcW w:w="1370" w:type="pct"/>
            <w:shd w:val="clear" w:color="auto" w:fill="E7E6E6" w:themeFill="background2"/>
            <w:noWrap/>
            <w:vAlign w:val="center"/>
            <w:hideMark/>
          </w:tcPr>
          <w:p w14:paraId="34E21624"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DELTA TRAVEL COMPANY SRL BUCUREȘTI</w:t>
            </w:r>
          </w:p>
        </w:tc>
        <w:tc>
          <w:tcPr>
            <w:tcW w:w="2425" w:type="pct"/>
            <w:shd w:val="clear" w:color="auto" w:fill="E7E6E6" w:themeFill="background2"/>
            <w:noWrap/>
            <w:vAlign w:val="center"/>
            <w:hideMark/>
          </w:tcPr>
          <w:p w14:paraId="60782F4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23F9092E" w14:textId="77777777" w:rsidTr="008E4E2E">
        <w:trPr>
          <w:jc w:val="center"/>
        </w:trPr>
        <w:tc>
          <w:tcPr>
            <w:tcW w:w="368" w:type="pct"/>
            <w:shd w:val="clear" w:color="auto" w:fill="E7E6E6" w:themeFill="background2"/>
            <w:vAlign w:val="center"/>
          </w:tcPr>
          <w:p w14:paraId="7D7B9848"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098DFF5D"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105 TL</w:t>
            </w:r>
          </w:p>
        </w:tc>
        <w:tc>
          <w:tcPr>
            <w:tcW w:w="1370" w:type="pct"/>
            <w:shd w:val="clear" w:color="auto" w:fill="E7E6E6" w:themeFill="background2"/>
            <w:noWrap/>
            <w:vAlign w:val="center"/>
            <w:hideMark/>
          </w:tcPr>
          <w:p w14:paraId="278A5A58"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EUROPOLIS SA TULCEA</w:t>
            </w:r>
          </w:p>
        </w:tc>
        <w:tc>
          <w:tcPr>
            <w:tcW w:w="2425" w:type="pct"/>
            <w:shd w:val="clear" w:color="auto" w:fill="E7E6E6" w:themeFill="background2"/>
            <w:noWrap/>
            <w:vAlign w:val="center"/>
            <w:hideMark/>
          </w:tcPr>
          <w:p w14:paraId="01B8A75B"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2963D38B" w14:textId="77777777" w:rsidTr="008E4E2E">
        <w:trPr>
          <w:jc w:val="center"/>
        </w:trPr>
        <w:tc>
          <w:tcPr>
            <w:tcW w:w="368" w:type="pct"/>
            <w:shd w:val="clear" w:color="auto" w:fill="E7E6E6" w:themeFill="background2"/>
            <w:vAlign w:val="center"/>
          </w:tcPr>
          <w:p w14:paraId="23E1E941"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2CBE2E4B"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110 TL</w:t>
            </w:r>
          </w:p>
        </w:tc>
        <w:tc>
          <w:tcPr>
            <w:tcW w:w="1370" w:type="pct"/>
            <w:shd w:val="clear" w:color="auto" w:fill="E7E6E6" w:themeFill="background2"/>
            <w:noWrap/>
            <w:vAlign w:val="center"/>
            <w:hideMark/>
          </w:tcPr>
          <w:p w14:paraId="1702B842"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FRAHER DISTRIBUTION SRL TULCEA</w:t>
            </w:r>
          </w:p>
        </w:tc>
        <w:tc>
          <w:tcPr>
            <w:tcW w:w="2425" w:type="pct"/>
            <w:shd w:val="clear" w:color="auto" w:fill="E7E6E6" w:themeFill="background2"/>
            <w:noWrap/>
            <w:vAlign w:val="center"/>
            <w:hideMark/>
          </w:tcPr>
          <w:p w14:paraId="5E637A9D"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mărfuri pe căi navigabile interioare</w:t>
            </w:r>
          </w:p>
        </w:tc>
      </w:tr>
      <w:tr w:rsidR="00583D8F" w:rsidRPr="007D3D4F" w14:paraId="16B56B7B" w14:textId="77777777" w:rsidTr="008E4E2E">
        <w:trPr>
          <w:jc w:val="center"/>
        </w:trPr>
        <w:tc>
          <w:tcPr>
            <w:tcW w:w="368" w:type="pct"/>
            <w:shd w:val="clear" w:color="auto" w:fill="E7E6E6" w:themeFill="background2"/>
            <w:vAlign w:val="center"/>
          </w:tcPr>
          <w:p w14:paraId="75B754A8"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1537B715"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104 TL</w:t>
            </w:r>
          </w:p>
        </w:tc>
        <w:tc>
          <w:tcPr>
            <w:tcW w:w="1370" w:type="pct"/>
            <w:shd w:val="clear" w:color="auto" w:fill="E7E6E6" w:themeFill="background2"/>
            <w:noWrap/>
            <w:vAlign w:val="center"/>
            <w:hideMark/>
          </w:tcPr>
          <w:p w14:paraId="15775276"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IBIS SRL MALIUC</w:t>
            </w:r>
          </w:p>
        </w:tc>
        <w:tc>
          <w:tcPr>
            <w:tcW w:w="2425" w:type="pct"/>
            <w:shd w:val="clear" w:color="auto" w:fill="E7E6E6" w:themeFill="background2"/>
            <w:noWrap/>
            <w:vAlign w:val="center"/>
            <w:hideMark/>
          </w:tcPr>
          <w:p w14:paraId="1DA32454"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5CD58C50" w14:textId="77777777" w:rsidTr="008E4E2E">
        <w:trPr>
          <w:jc w:val="center"/>
        </w:trPr>
        <w:tc>
          <w:tcPr>
            <w:tcW w:w="368" w:type="pct"/>
            <w:shd w:val="clear" w:color="auto" w:fill="E7E6E6" w:themeFill="background2"/>
            <w:vAlign w:val="center"/>
          </w:tcPr>
          <w:p w14:paraId="48E913AB"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30A453A0"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117 TL</w:t>
            </w:r>
          </w:p>
        </w:tc>
        <w:tc>
          <w:tcPr>
            <w:tcW w:w="1370" w:type="pct"/>
            <w:shd w:val="clear" w:color="auto" w:fill="E7E6E6" w:themeFill="background2"/>
            <w:noWrap/>
            <w:vAlign w:val="center"/>
            <w:hideMark/>
          </w:tcPr>
          <w:p w14:paraId="2B28E610"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KASANDRA IMPEX SRL TULCEA</w:t>
            </w:r>
          </w:p>
        </w:tc>
        <w:tc>
          <w:tcPr>
            <w:tcW w:w="2425" w:type="pct"/>
            <w:shd w:val="clear" w:color="auto" w:fill="E7E6E6" w:themeFill="background2"/>
            <w:noWrap/>
            <w:vAlign w:val="center"/>
            <w:hideMark/>
          </w:tcPr>
          <w:p w14:paraId="5B0EAB7C"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mărfuri pe căi navigabile interioare</w:t>
            </w:r>
          </w:p>
        </w:tc>
      </w:tr>
      <w:tr w:rsidR="00583D8F" w:rsidRPr="007D3D4F" w14:paraId="4629871F" w14:textId="77777777" w:rsidTr="008E4E2E">
        <w:trPr>
          <w:jc w:val="center"/>
        </w:trPr>
        <w:tc>
          <w:tcPr>
            <w:tcW w:w="368" w:type="pct"/>
            <w:shd w:val="clear" w:color="auto" w:fill="E7E6E6" w:themeFill="background2"/>
            <w:vAlign w:val="center"/>
          </w:tcPr>
          <w:p w14:paraId="0774B1DB"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22D7DB6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118 TL</w:t>
            </w:r>
          </w:p>
        </w:tc>
        <w:tc>
          <w:tcPr>
            <w:tcW w:w="1370" w:type="pct"/>
            <w:shd w:val="clear" w:color="auto" w:fill="E7E6E6" w:themeFill="background2"/>
            <w:noWrap/>
            <w:vAlign w:val="center"/>
            <w:hideMark/>
          </w:tcPr>
          <w:p w14:paraId="4E08C4C6"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IVAN PESCAR SRL TULCEA</w:t>
            </w:r>
          </w:p>
        </w:tc>
        <w:tc>
          <w:tcPr>
            <w:tcW w:w="2425" w:type="pct"/>
            <w:shd w:val="clear" w:color="auto" w:fill="E7E6E6" w:themeFill="background2"/>
            <w:noWrap/>
            <w:vAlign w:val="center"/>
            <w:hideMark/>
          </w:tcPr>
          <w:p w14:paraId="4171CF46"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727ABFD0" w14:textId="77777777" w:rsidTr="008E4E2E">
        <w:trPr>
          <w:jc w:val="center"/>
        </w:trPr>
        <w:tc>
          <w:tcPr>
            <w:tcW w:w="368" w:type="pct"/>
            <w:shd w:val="clear" w:color="auto" w:fill="E7E6E6" w:themeFill="background2"/>
            <w:vAlign w:val="center"/>
          </w:tcPr>
          <w:p w14:paraId="4231902C"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0274AEA5"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119 TL</w:t>
            </w:r>
          </w:p>
        </w:tc>
        <w:tc>
          <w:tcPr>
            <w:tcW w:w="1370" w:type="pct"/>
            <w:shd w:val="clear" w:color="auto" w:fill="E7E6E6" w:themeFill="background2"/>
            <w:noWrap/>
            <w:vAlign w:val="center"/>
            <w:hideMark/>
          </w:tcPr>
          <w:p w14:paraId="515CAE6E"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SINCRON SRL TULCEA</w:t>
            </w:r>
          </w:p>
        </w:tc>
        <w:tc>
          <w:tcPr>
            <w:tcW w:w="2425" w:type="pct"/>
            <w:shd w:val="clear" w:color="auto" w:fill="E7E6E6" w:themeFill="background2"/>
            <w:noWrap/>
            <w:vAlign w:val="center"/>
            <w:hideMark/>
          </w:tcPr>
          <w:p w14:paraId="6B9C9E88"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6C0749CD" w14:textId="77777777" w:rsidTr="008E4E2E">
        <w:trPr>
          <w:jc w:val="center"/>
        </w:trPr>
        <w:tc>
          <w:tcPr>
            <w:tcW w:w="368" w:type="pct"/>
            <w:shd w:val="clear" w:color="auto" w:fill="E7E6E6" w:themeFill="background2"/>
            <w:vAlign w:val="center"/>
          </w:tcPr>
          <w:p w14:paraId="6A1D8ADE"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0A654DAE"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106 TL</w:t>
            </w:r>
          </w:p>
        </w:tc>
        <w:tc>
          <w:tcPr>
            <w:tcW w:w="1370" w:type="pct"/>
            <w:shd w:val="clear" w:color="auto" w:fill="E7E6E6" w:themeFill="background2"/>
            <w:noWrap/>
            <w:vAlign w:val="center"/>
            <w:hideMark/>
          </w:tcPr>
          <w:p w14:paraId="6B61B651"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LISCOM SRL TULCEA</w:t>
            </w:r>
          </w:p>
        </w:tc>
        <w:tc>
          <w:tcPr>
            <w:tcW w:w="2425" w:type="pct"/>
            <w:shd w:val="clear" w:color="auto" w:fill="E7E6E6" w:themeFill="background2"/>
            <w:noWrap/>
            <w:vAlign w:val="center"/>
            <w:hideMark/>
          </w:tcPr>
          <w:p w14:paraId="1E9C44C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și mărfuri pe căi navigabile interioare</w:t>
            </w:r>
          </w:p>
        </w:tc>
      </w:tr>
      <w:tr w:rsidR="00583D8F" w:rsidRPr="007D3D4F" w14:paraId="6B217440" w14:textId="77777777" w:rsidTr="008E4E2E">
        <w:trPr>
          <w:jc w:val="center"/>
        </w:trPr>
        <w:tc>
          <w:tcPr>
            <w:tcW w:w="368" w:type="pct"/>
            <w:shd w:val="clear" w:color="auto" w:fill="E7E6E6" w:themeFill="background2"/>
            <w:vAlign w:val="center"/>
          </w:tcPr>
          <w:p w14:paraId="6EA7308F"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1EFEDE2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96 TL</w:t>
            </w:r>
          </w:p>
        </w:tc>
        <w:tc>
          <w:tcPr>
            <w:tcW w:w="1370" w:type="pct"/>
            <w:shd w:val="clear" w:color="auto" w:fill="E7E6E6" w:themeFill="background2"/>
            <w:noWrap/>
            <w:vAlign w:val="center"/>
            <w:hideMark/>
          </w:tcPr>
          <w:p w14:paraId="329D4FE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LUNOK SRL GALAȚI</w:t>
            </w:r>
          </w:p>
        </w:tc>
        <w:tc>
          <w:tcPr>
            <w:tcW w:w="2425" w:type="pct"/>
            <w:shd w:val="clear" w:color="auto" w:fill="E7E6E6" w:themeFill="background2"/>
            <w:noWrap/>
            <w:vAlign w:val="center"/>
            <w:hideMark/>
          </w:tcPr>
          <w:p w14:paraId="580FA45D"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mărfuri pe căi navigabile interioare</w:t>
            </w:r>
          </w:p>
        </w:tc>
      </w:tr>
      <w:tr w:rsidR="00583D8F" w:rsidRPr="007D3D4F" w14:paraId="25AA79C4" w14:textId="77777777" w:rsidTr="008E4E2E">
        <w:trPr>
          <w:jc w:val="center"/>
        </w:trPr>
        <w:tc>
          <w:tcPr>
            <w:tcW w:w="368" w:type="pct"/>
            <w:shd w:val="clear" w:color="auto" w:fill="E7E6E6" w:themeFill="background2"/>
            <w:vAlign w:val="center"/>
          </w:tcPr>
          <w:p w14:paraId="7D75ADBD"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26971A7B"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92 TL</w:t>
            </w:r>
          </w:p>
        </w:tc>
        <w:tc>
          <w:tcPr>
            <w:tcW w:w="1370" w:type="pct"/>
            <w:shd w:val="clear" w:color="auto" w:fill="E7E6E6" w:themeFill="background2"/>
            <w:noWrap/>
            <w:vAlign w:val="center"/>
            <w:hideMark/>
          </w:tcPr>
          <w:p w14:paraId="0DDFAD0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MAYA SD TRANS SRL BUCUREȘTI</w:t>
            </w:r>
          </w:p>
        </w:tc>
        <w:tc>
          <w:tcPr>
            <w:tcW w:w="2425" w:type="pct"/>
            <w:shd w:val="clear" w:color="auto" w:fill="E7E6E6" w:themeFill="background2"/>
            <w:noWrap/>
            <w:vAlign w:val="center"/>
            <w:hideMark/>
          </w:tcPr>
          <w:p w14:paraId="58FE0FA1"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mărfuri pe căi navigabile interioare</w:t>
            </w:r>
          </w:p>
        </w:tc>
      </w:tr>
      <w:tr w:rsidR="00583D8F" w:rsidRPr="007D3D4F" w14:paraId="79D9FDFA" w14:textId="77777777" w:rsidTr="008E4E2E">
        <w:trPr>
          <w:jc w:val="center"/>
        </w:trPr>
        <w:tc>
          <w:tcPr>
            <w:tcW w:w="368" w:type="pct"/>
            <w:shd w:val="clear" w:color="auto" w:fill="E7E6E6" w:themeFill="background2"/>
            <w:vAlign w:val="center"/>
          </w:tcPr>
          <w:p w14:paraId="180E2BB9"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72B011AD"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111 TL</w:t>
            </w:r>
          </w:p>
        </w:tc>
        <w:tc>
          <w:tcPr>
            <w:tcW w:w="1370" w:type="pct"/>
            <w:shd w:val="clear" w:color="auto" w:fill="E7E6E6" w:themeFill="background2"/>
            <w:noWrap/>
            <w:vAlign w:val="center"/>
            <w:hideMark/>
          </w:tcPr>
          <w:p w14:paraId="67A2FFE6"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MODERN AMBIENT SRL TULCEA</w:t>
            </w:r>
          </w:p>
        </w:tc>
        <w:tc>
          <w:tcPr>
            <w:tcW w:w="2425" w:type="pct"/>
            <w:shd w:val="clear" w:color="auto" w:fill="E7E6E6" w:themeFill="background2"/>
            <w:noWrap/>
            <w:vAlign w:val="center"/>
            <w:hideMark/>
          </w:tcPr>
          <w:p w14:paraId="734003AD"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7D34148E" w14:textId="77777777" w:rsidTr="008E4E2E">
        <w:trPr>
          <w:jc w:val="center"/>
        </w:trPr>
        <w:tc>
          <w:tcPr>
            <w:tcW w:w="368" w:type="pct"/>
            <w:shd w:val="clear" w:color="auto" w:fill="E7E6E6" w:themeFill="background2"/>
            <w:vAlign w:val="center"/>
          </w:tcPr>
          <w:p w14:paraId="3AF16305"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597092C1"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101 TL</w:t>
            </w:r>
          </w:p>
        </w:tc>
        <w:tc>
          <w:tcPr>
            <w:tcW w:w="1370" w:type="pct"/>
            <w:shd w:val="clear" w:color="auto" w:fill="E7E6E6" w:themeFill="background2"/>
            <w:noWrap/>
            <w:vAlign w:val="center"/>
            <w:hideMark/>
          </w:tcPr>
          <w:p w14:paraId="4EBACB15"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MON JARDIN TURISM SRL MAHMUDIA</w:t>
            </w:r>
          </w:p>
        </w:tc>
        <w:tc>
          <w:tcPr>
            <w:tcW w:w="2425" w:type="pct"/>
            <w:shd w:val="clear" w:color="auto" w:fill="E7E6E6" w:themeFill="background2"/>
            <w:noWrap/>
            <w:vAlign w:val="center"/>
            <w:hideMark/>
          </w:tcPr>
          <w:p w14:paraId="6F0DBDB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77C0F09F" w14:textId="77777777" w:rsidTr="008E4E2E">
        <w:trPr>
          <w:jc w:val="center"/>
        </w:trPr>
        <w:tc>
          <w:tcPr>
            <w:tcW w:w="368" w:type="pct"/>
            <w:shd w:val="clear" w:color="auto" w:fill="E7E6E6" w:themeFill="background2"/>
            <w:vAlign w:val="center"/>
          </w:tcPr>
          <w:p w14:paraId="52058E2F"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3A2C91FE"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103 TL</w:t>
            </w:r>
          </w:p>
        </w:tc>
        <w:tc>
          <w:tcPr>
            <w:tcW w:w="1370" w:type="pct"/>
            <w:shd w:val="clear" w:color="auto" w:fill="E7E6E6" w:themeFill="background2"/>
            <w:noWrap/>
            <w:vAlign w:val="center"/>
            <w:hideMark/>
          </w:tcPr>
          <w:p w14:paraId="5AE98CD9"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NAVROM DELTA SA TULCEA</w:t>
            </w:r>
          </w:p>
        </w:tc>
        <w:tc>
          <w:tcPr>
            <w:tcW w:w="2425" w:type="pct"/>
            <w:shd w:val="clear" w:color="auto" w:fill="E7E6E6" w:themeFill="background2"/>
            <w:noWrap/>
            <w:vAlign w:val="center"/>
            <w:hideMark/>
          </w:tcPr>
          <w:p w14:paraId="4CCD36ED"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și mărfuri pe căi navigabile interioare</w:t>
            </w:r>
          </w:p>
        </w:tc>
      </w:tr>
      <w:tr w:rsidR="00583D8F" w:rsidRPr="007D3D4F" w14:paraId="702A0B43" w14:textId="77777777" w:rsidTr="008E4E2E">
        <w:trPr>
          <w:jc w:val="center"/>
        </w:trPr>
        <w:tc>
          <w:tcPr>
            <w:tcW w:w="368" w:type="pct"/>
            <w:shd w:val="clear" w:color="auto" w:fill="E7E6E6" w:themeFill="background2"/>
            <w:vAlign w:val="center"/>
          </w:tcPr>
          <w:p w14:paraId="3FDBEB63"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72E216E5"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102 TL</w:t>
            </w:r>
          </w:p>
        </w:tc>
        <w:tc>
          <w:tcPr>
            <w:tcW w:w="1370" w:type="pct"/>
            <w:shd w:val="clear" w:color="auto" w:fill="E7E6E6" w:themeFill="background2"/>
            <w:noWrap/>
            <w:vAlign w:val="center"/>
            <w:hideMark/>
          </w:tcPr>
          <w:p w14:paraId="6695388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SAT VACANȚA GURA PORTIȚEI SRL</w:t>
            </w:r>
          </w:p>
        </w:tc>
        <w:tc>
          <w:tcPr>
            <w:tcW w:w="2425" w:type="pct"/>
            <w:shd w:val="clear" w:color="auto" w:fill="E7E6E6" w:themeFill="background2"/>
            <w:noWrap/>
            <w:vAlign w:val="center"/>
            <w:hideMark/>
          </w:tcPr>
          <w:p w14:paraId="05A6EEF6"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mărfuri și pasageri pe căi navigabile interioare</w:t>
            </w:r>
          </w:p>
        </w:tc>
      </w:tr>
      <w:tr w:rsidR="00583D8F" w:rsidRPr="007D3D4F" w14:paraId="42F8A6A8" w14:textId="77777777" w:rsidTr="008E4E2E">
        <w:trPr>
          <w:jc w:val="center"/>
        </w:trPr>
        <w:tc>
          <w:tcPr>
            <w:tcW w:w="368" w:type="pct"/>
            <w:shd w:val="clear" w:color="auto" w:fill="E7E6E6" w:themeFill="background2"/>
            <w:vAlign w:val="center"/>
          </w:tcPr>
          <w:p w14:paraId="17FEF683"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2B43CC18"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116 TL</w:t>
            </w:r>
          </w:p>
        </w:tc>
        <w:tc>
          <w:tcPr>
            <w:tcW w:w="1370" w:type="pct"/>
            <w:shd w:val="clear" w:color="auto" w:fill="E7E6E6" w:themeFill="background2"/>
            <w:noWrap/>
            <w:vAlign w:val="center"/>
            <w:hideMark/>
          </w:tcPr>
          <w:p w14:paraId="62F979A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STAR 2000 SA TULCEA</w:t>
            </w:r>
          </w:p>
        </w:tc>
        <w:tc>
          <w:tcPr>
            <w:tcW w:w="2425" w:type="pct"/>
            <w:shd w:val="clear" w:color="auto" w:fill="E7E6E6" w:themeFill="background2"/>
            <w:noWrap/>
            <w:vAlign w:val="center"/>
            <w:hideMark/>
          </w:tcPr>
          <w:p w14:paraId="17BCD9B5"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mărfuri și pasageri pe căi navigabile interioare</w:t>
            </w:r>
          </w:p>
        </w:tc>
      </w:tr>
      <w:tr w:rsidR="00583D8F" w:rsidRPr="007D3D4F" w14:paraId="5BD18A97" w14:textId="77777777" w:rsidTr="008E4E2E">
        <w:trPr>
          <w:jc w:val="center"/>
        </w:trPr>
        <w:tc>
          <w:tcPr>
            <w:tcW w:w="368" w:type="pct"/>
            <w:shd w:val="clear" w:color="auto" w:fill="E7E6E6" w:themeFill="background2"/>
            <w:vAlign w:val="center"/>
          </w:tcPr>
          <w:p w14:paraId="581E53D2"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1E82827F"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94 TL</w:t>
            </w:r>
          </w:p>
        </w:tc>
        <w:tc>
          <w:tcPr>
            <w:tcW w:w="1370" w:type="pct"/>
            <w:shd w:val="clear" w:color="auto" w:fill="E7E6E6" w:themeFill="background2"/>
            <w:noWrap/>
            <w:vAlign w:val="center"/>
            <w:hideMark/>
          </w:tcPr>
          <w:p w14:paraId="0FD5087F"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SA TULCEA</w:t>
            </w:r>
          </w:p>
        </w:tc>
        <w:tc>
          <w:tcPr>
            <w:tcW w:w="2425" w:type="pct"/>
            <w:shd w:val="clear" w:color="auto" w:fill="E7E6E6" w:themeFill="background2"/>
            <w:noWrap/>
            <w:vAlign w:val="center"/>
            <w:hideMark/>
          </w:tcPr>
          <w:p w14:paraId="7AB3B91D"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3BC5B626" w14:textId="77777777" w:rsidTr="008E4E2E">
        <w:trPr>
          <w:jc w:val="center"/>
        </w:trPr>
        <w:tc>
          <w:tcPr>
            <w:tcW w:w="368" w:type="pct"/>
            <w:shd w:val="clear" w:color="auto" w:fill="E7E6E6" w:themeFill="background2"/>
            <w:vAlign w:val="center"/>
          </w:tcPr>
          <w:p w14:paraId="10BEA2D8"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7C79DFB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108 TL</w:t>
            </w:r>
          </w:p>
        </w:tc>
        <w:tc>
          <w:tcPr>
            <w:tcW w:w="1370" w:type="pct"/>
            <w:shd w:val="clear" w:color="auto" w:fill="E7E6E6" w:themeFill="background2"/>
            <w:noWrap/>
            <w:vAlign w:val="center"/>
            <w:hideMark/>
          </w:tcPr>
          <w:p w14:paraId="6A88E9AA"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URSA MARE SRL NUFĂRU</w:t>
            </w:r>
          </w:p>
        </w:tc>
        <w:tc>
          <w:tcPr>
            <w:tcW w:w="2425" w:type="pct"/>
            <w:shd w:val="clear" w:color="auto" w:fill="E7E6E6" w:themeFill="background2"/>
            <w:noWrap/>
            <w:vAlign w:val="center"/>
            <w:hideMark/>
          </w:tcPr>
          <w:p w14:paraId="21790BC8"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pe căi navigabile interioare</w:t>
            </w:r>
          </w:p>
        </w:tc>
      </w:tr>
      <w:tr w:rsidR="00583D8F" w:rsidRPr="007D3D4F" w14:paraId="62DCC6E0" w14:textId="77777777" w:rsidTr="008E4E2E">
        <w:trPr>
          <w:jc w:val="center"/>
        </w:trPr>
        <w:tc>
          <w:tcPr>
            <w:tcW w:w="368" w:type="pct"/>
            <w:shd w:val="clear" w:color="auto" w:fill="E7E6E6" w:themeFill="background2"/>
            <w:vAlign w:val="center"/>
          </w:tcPr>
          <w:p w14:paraId="2AE99604"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5E2CD27F"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112 TL</w:t>
            </w:r>
          </w:p>
        </w:tc>
        <w:tc>
          <w:tcPr>
            <w:tcW w:w="1370" w:type="pct"/>
            <w:shd w:val="clear" w:color="auto" w:fill="E7E6E6" w:themeFill="background2"/>
            <w:noWrap/>
            <w:vAlign w:val="center"/>
            <w:hideMark/>
          </w:tcPr>
          <w:p w14:paraId="78943111"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VICTORIA OIL SRL SULINA</w:t>
            </w:r>
          </w:p>
        </w:tc>
        <w:tc>
          <w:tcPr>
            <w:tcW w:w="2425" w:type="pct"/>
            <w:shd w:val="clear" w:color="auto" w:fill="E7E6E6" w:themeFill="background2"/>
            <w:noWrap/>
            <w:vAlign w:val="center"/>
            <w:hideMark/>
          </w:tcPr>
          <w:p w14:paraId="682B5EB2"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și mărfuri pe căi navigabile interioare</w:t>
            </w:r>
          </w:p>
        </w:tc>
      </w:tr>
      <w:tr w:rsidR="00583D8F" w:rsidRPr="007D3D4F" w14:paraId="7FA06392" w14:textId="77777777" w:rsidTr="008E4E2E">
        <w:trPr>
          <w:jc w:val="center"/>
        </w:trPr>
        <w:tc>
          <w:tcPr>
            <w:tcW w:w="368" w:type="pct"/>
            <w:shd w:val="clear" w:color="auto" w:fill="E7E6E6" w:themeFill="background2"/>
            <w:vAlign w:val="center"/>
          </w:tcPr>
          <w:p w14:paraId="4AC67503" w14:textId="77777777" w:rsidR="00583D8F" w:rsidRPr="007D3D4F" w:rsidRDefault="00583D8F" w:rsidP="00D81598">
            <w:pPr>
              <w:pStyle w:val="Listparagraf"/>
              <w:numPr>
                <w:ilvl w:val="0"/>
                <w:numId w:val="1"/>
              </w:numPr>
              <w:spacing w:after="0" w:line="240" w:lineRule="auto"/>
              <w:ind w:left="527" w:hanging="357"/>
              <w:rPr>
                <w:rFonts w:ascii="Times New Roman" w:eastAsia="Times New Roman" w:hAnsi="Times New Roman" w:cs="Times New Roman"/>
                <w:color w:val="000000"/>
                <w:kern w:val="0"/>
                <w:sz w:val="20"/>
                <w:szCs w:val="20"/>
                <w:lang w:eastAsia="en-GB"/>
                <w14:ligatures w14:val="none"/>
              </w:rPr>
            </w:pPr>
          </w:p>
        </w:tc>
        <w:tc>
          <w:tcPr>
            <w:tcW w:w="837" w:type="pct"/>
            <w:shd w:val="clear" w:color="auto" w:fill="E7E6E6" w:themeFill="background2"/>
            <w:noWrap/>
            <w:vAlign w:val="center"/>
            <w:hideMark/>
          </w:tcPr>
          <w:p w14:paraId="3A83D4AC"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TPMCN 100 TL</w:t>
            </w:r>
          </w:p>
        </w:tc>
        <w:tc>
          <w:tcPr>
            <w:tcW w:w="1370" w:type="pct"/>
            <w:shd w:val="clear" w:color="auto" w:fill="E7E6E6" w:themeFill="background2"/>
            <w:noWrap/>
            <w:vAlign w:val="center"/>
            <w:hideMark/>
          </w:tcPr>
          <w:p w14:paraId="6E82A97E"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WEBMEDIA SRL VULTURU</w:t>
            </w:r>
          </w:p>
        </w:tc>
        <w:tc>
          <w:tcPr>
            <w:tcW w:w="2425" w:type="pct"/>
            <w:shd w:val="clear" w:color="auto" w:fill="E7E6E6" w:themeFill="background2"/>
            <w:noWrap/>
            <w:vAlign w:val="center"/>
            <w:hideMark/>
          </w:tcPr>
          <w:p w14:paraId="25AD2CE7" w14:textId="77777777" w:rsidR="00583D8F" w:rsidRPr="007D3D4F" w:rsidRDefault="00583D8F" w:rsidP="00D44A1A">
            <w:pPr>
              <w:spacing w:after="0" w:line="240" w:lineRule="auto"/>
              <w:contextualSpacing/>
              <w:rPr>
                <w:rFonts w:ascii="Times New Roman" w:eastAsia="Times New Roman" w:hAnsi="Times New Roman" w:cs="Times New Roman"/>
                <w:color w:val="000000"/>
                <w:kern w:val="0"/>
                <w:sz w:val="20"/>
                <w:szCs w:val="20"/>
                <w:lang w:eastAsia="en-GB"/>
                <w14:ligatures w14:val="none"/>
              </w:rPr>
            </w:pPr>
            <w:r w:rsidRPr="007D3D4F">
              <w:rPr>
                <w:rFonts w:ascii="Times New Roman" w:eastAsia="Times New Roman" w:hAnsi="Times New Roman" w:cs="Times New Roman"/>
                <w:color w:val="000000"/>
                <w:kern w:val="0"/>
                <w:sz w:val="20"/>
                <w:szCs w:val="20"/>
                <w:lang w:eastAsia="en-GB"/>
                <w14:ligatures w14:val="none"/>
              </w:rPr>
              <w:t>Transport public de pasageri și mărfuri pe căi navigabile interioare</w:t>
            </w:r>
          </w:p>
        </w:tc>
      </w:tr>
    </w:tbl>
    <w:p w14:paraId="4718C715" w14:textId="77777777" w:rsidR="00583D8F" w:rsidRPr="007D3D4F" w:rsidRDefault="00583D8F" w:rsidP="004C072F">
      <w:pPr>
        <w:pStyle w:val="Smn"/>
        <w:contextualSpacing/>
        <w:jc w:val="center"/>
        <w:rPr>
          <w:rFonts w:ascii="Times New Roman" w:hAnsi="Times New Roman" w:cs="Times New Roman"/>
          <w:sz w:val="22"/>
          <w:szCs w:val="22"/>
        </w:rPr>
      </w:pPr>
      <w:r w:rsidRPr="007D3D4F">
        <w:rPr>
          <w:rFonts w:ascii="Times New Roman" w:hAnsi="Times New Roman" w:cs="Times New Roman"/>
          <w:b/>
          <w:bCs/>
          <w:sz w:val="22"/>
          <w:szCs w:val="22"/>
        </w:rPr>
        <w:t>Sursa:</w:t>
      </w:r>
      <w:r w:rsidRPr="007D3D4F">
        <w:rPr>
          <w:rFonts w:ascii="Times New Roman" w:hAnsi="Times New Roman" w:cs="Times New Roman"/>
          <w:sz w:val="22"/>
          <w:szCs w:val="22"/>
        </w:rPr>
        <w:t xml:space="preserve"> Autoritatea Navală Română</w:t>
      </w:r>
    </w:p>
    <w:p w14:paraId="035D9C00" w14:textId="77777777" w:rsidR="00583D8F" w:rsidRPr="007D3D4F" w:rsidRDefault="00583D8F" w:rsidP="004C072F">
      <w:pPr>
        <w:spacing w:before="120" w:after="120" w:line="240" w:lineRule="auto"/>
        <w:contextualSpacing/>
        <w:rPr>
          <w:rFonts w:ascii="Times New Roman" w:hAnsi="Times New Roman" w:cs="Times New Roman"/>
          <w:b/>
          <w:bCs/>
        </w:rPr>
      </w:pPr>
    </w:p>
    <w:p w14:paraId="31A50CC9" w14:textId="77777777" w:rsidR="00583D8F" w:rsidRPr="007D3D4F" w:rsidRDefault="00583D8F" w:rsidP="004C072F">
      <w:pPr>
        <w:spacing w:before="120" w:after="120" w:line="240" w:lineRule="auto"/>
        <w:contextualSpacing/>
        <w:rPr>
          <w:rFonts w:ascii="Times New Roman" w:hAnsi="Times New Roman" w:cs="Times New Roman"/>
          <w:b/>
          <w:bCs/>
        </w:rPr>
      </w:pPr>
    </w:p>
    <w:p w14:paraId="23D5848B" w14:textId="77777777" w:rsidR="00583D8F" w:rsidRPr="007D3D4F" w:rsidRDefault="00583D8F" w:rsidP="004C072F">
      <w:pPr>
        <w:spacing w:before="120" w:after="120" w:line="240" w:lineRule="auto"/>
        <w:contextualSpacing/>
        <w:rPr>
          <w:rFonts w:ascii="Times New Roman" w:hAnsi="Times New Roman" w:cs="Times New Roman"/>
          <w:b/>
          <w:bCs/>
        </w:rPr>
      </w:pPr>
    </w:p>
    <w:p w14:paraId="3434B217" w14:textId="77777777" w:rsidR="00583D8F" w:rsidRPr="007D3D4F" w:rsidRDefault="00583D8F" w:rsidP="004C072F">
      <w:pPr>
        <w:spacing w:before="120" w:after="120" w:line="240" w:lineRule="auto"/>
        <w:contextualSpacing/>
        <w:rPr>
          <w:rFonts w:ascii="Times New Roman" w:hAnsi="Times New Roman" w:cs="Times New Roman"/>
          <w:b/>
          <w:bCs/>
        </w:rPr>
      </w:pPr>
    </w:p>
    <w:p w14:paraId="377F26E4" w14:textId="0B59A477" w:rsidR="00FB42CC" w:rsidRPr="007D3D4F" w:rsidRDefault="001012BD" w:rsidP="00A32D84">
      <w:pPr>
        <w:pStyle w:val="Smn"/>
        <w:jc w:val="center"/>
        <w:rPr>
          <w:rFonts w:ascii="Times New Roman" w:hAnsi="Times New Roman" w:cs="Times New Roman"/>
          <w:b/>
          <w:bCs/>
          <w:color w:val="auto"/>
          <w:sz w:val="36"/>
          <w:szCs w:val="36"/>
        </w:rPr>
      </w:pPr>
      <w:r w:rsidRPr="007D3D4F">
        <w:rPr>
          <w:rFonts w:ascii="Times New Roman" w:hAnsi="Times New Roman" w:cs="Times New Roman"/>
          <w:b/>
          <w:bCs/>
          <w:color w:val="auto"/>
          <w:sz w:val="36"/>
          <w:szCs w:val="36"/>
        </w:rPr>
        <w:lastRenderedPageBreak/>
        <w:t>ANEXA 3</w:t>
      </w:r>
    </w:p>
    <w:p w14:paraId="6AE08728" w14:textId="1EB9F89B" w:rsidR="00C96F77" w:rsidRPr="007D3D4F" w:rsidRDefault="00C96F77" w:rsidP="00A32D84">
      <w:pPr>
        <w:pStyle w:val="Smn"/>
        <w:jc w:val="center"/>
        <w:rPr>
          <w:rFonts w:ascii="Times New Roman" w:hAnsi="Times New Roman" w:cs="Times New Roman"/>
          <w:b/>
          <w:bCs/>
          <w:color w:val="auto"/>
          <w:sz w:val="36"/>
          <w:szCs w:val="36"/>
        </w:rPr>
      </w:pPr>
      <w:r w:rsidRPr="007D3D4F">
        <w:rPr>
          <w:rFonts w:ascii="Times New Roman" w:hAnsi="Times New Roman" w:cs="Times New Roman"/>
          <w:b/>
          <w:bCs/>
          <w:color w:val="auto"/>
          <w:sz w:val="36"/>
          <w:szCs w:val="36"/>
        </w:rPr>
        <w:t xml:space="preserve">INTERPRETAREA STATISTICĂ A REZULTATELOR INSTRUMENTULUI DE CERCETARE CANTITATIVĂ – CHESTIONAR </w:t>
      </w:r>
    </w:p>
    <w:p w14:paraId="267F4816" w14:textId="30909259" w:rsidR="00C96F77" w:rsidRPr="007D3D4F" w:rsidRDefault="00C96F77" w:rsidP="00A32D84">
      <w:pPr>
        <w:pStyle w:val="Smn"/>
        <w:rPr>
          <w:rFonts w:ascii="Times New Roman" w:hAnsi="Times New Roman" w:cs="Times New Roman"/>
          <w:b/>
          <w:bCs/>
          <w:color w:val="auto"/>
          <w:sz w:val="22"/>
          <w:szCs w:val="22"/>
        </w:rPr>
      </w:pPr>
    </w:p>
    <w:p w14:paraId="31A7111A" w14:textId="77777777" w:rsidR="002F7DAA" w:rsidRPr="007D3D4F" w:rsidRDefault="00C96F77" w:rsidP="00D81598">
      <w:pPr>
        <w:pStyle w:val="Smn"/>
        <w:numPr>
          <w:ilvl w:val="0"/>
          <w:numId w:val="28"/>
        </w:numPr>
        <w:rPr>
          <w:rFonts w:ascii="Times New Roman" w:hAnsi="Times New Roman" w:cs="Times New Roman"/>
          <w:i/>
          <w:iCs/>
          <w:sz w:val="22"/>
          <w:szCs w:val="22"/>
        </w:rPr>
      </w:pPr>
      <w:r w:rsidRPr="007D3D4F">
        <w:rPr>
          <w:rFonts w:ascii="Times New Roman" w:hAnsi="Times New Roman" w:cs="Times New Roman"/>
          <w:b/>
          <w:bCs/>
          <w:color w:val="auto"/>
          <w:sz w:val="22"/>
          <w:szCs w:val="22"/>
        </w:rPr>
        <w:t xml:space="preserve"> </w:t>
      </w:r>
      <w:r w:rsidRPr="007D3D4F">
        <w:rPr>
          <w:rFonts w:ascii="Times New Roman" w:hAnsi="Times New Roman" w:cs="Times New Roman"/>
          <w:i/>
          <w:iCs/>
          <w:color w:val="auto"/>
          <w:sz w:val="22"/>
          <w:szCs w:val="22"/>
        </w:rPr>
        <w:t>Capitolul 8, subcapitolul 8.1. Rezultate chestionar</w:t>
      </w:r>
      <w:bookmarkEnd w:id="9"/>
    </w:p>
    <w:p w14:paraId="6BFC03D3" w14:textId="77777777" w:rsidR="002F7DAA" w:rsidRPr="007D3D4F" w:rsidRDefault="002F7DAA" w:rsidP="00A32D84">
      <w:pPr>
        <w:pStyle w:val="Smn"/>
        <w:rPr>
          <w:rFonts w:ascii="Times New Roman" w:hAnsi="Times New Roman" w:cs="Times New Roman"/>
          <w:i/>
          <w:iCs/>
          <w:color w:val="auto"/>
          <w:sz w:val="22"/>
          <w:szCs w:val="22"/>
        </w:rPr>
      </w:pPr>
    </w:p>
    <w:p w14:paraId="50BB3C48" w14:textId="77777777" w:rsidR="00425E35" w:rsidRPr="002E0C1B" w:rsidRDefault="002F7DAA" w:rsidP="002E0C1B">
      <w:pPr>
        <w:pStyle w:val="Smn"/>
        <w:rPr>
          <w:rFonts w:ascii="Times New Roman" w:hAnsi="Times New Roman" w:cs="Times New Roman"/>
          <w:b/>
          <w:bCs/>
          <w:sz w:val="22"/>
          <w:szCs w:val="22"/>
        </w:rPr>
      </w:pPr>
      <w:r w:rsidRPr="002E0C1B">
        <w:rPr>
          <w:rFonts w:ascii="Times New Roman" w:hAnsi="Times New Roman" w:cs="Times New Roman"/>
          <w:b/>
          <w:bCs/>
          <w:sz w:val="22"/>
          <w:szCs w:val="22"/>
        </w:rPr>
        <w:t>1. Tip de organizație / actor:</w:t>
      </w:r>
    </w:p>
    <w:p w14:paraId="160491CA" w14:textId="77777777" w:rsidR="00182F12" w:rsidRPr="002E0C1B" w:rsidRDefault="00182F12" w:rsidP="002E0C1B">
      <w:pPr>
        <w:pStyle w:val="Smn"/>
        <w:rPr>
          <w:rFonts w:ascii="Times New Roman" w:hAnsi="Times New Roman" w:cs="Times New Roman"/>
          <w:b/>
          <w:bCs/>
          <w:i/>
          <w:iCs/>
          <w:sz w:val="22"/>
          <w:szCs w:val="22"/>
        </w:rPr>
      </w:pPr>
      <w:r w:rsidRPr="002E0C1B">
        <w:rPr>
          <w:rFonts w:ascii="Times New Roman" w:hAnsi="Times New Roman" w:cs="Times New Roman"/>
          <w:noProof/>
          <w:sz w:val="22"/>
          <w:szCs w:val="22"/>
          <w:lang w:eastAsia="ro-RO"/>
        </w:rPr>
        <w:drawing>
          <wp:inline distT="0" distB="0" distL="0" distR="0" wp14:anchorId="0429FCA7" wp14:editId="2F9B4A70">
            <wp:extent cx="5772150" cy="1952625"/>
            <wp:effectExtent l="0" t="0" r="0" b="0"/>
            <wp:docPr id="113174656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4DCD17-CF7F-97DE-36B4-AF0E5B3CD4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8FF969" w14:textId="226F6823" w:rsidR="00466DC9" w:rsidRPr="002E0C1B" w:rsidRDefault="00466DC9" w:rsidP="002E0C1B">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2</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sidR="00A32D84" w:rsidRPr="002E0C1B">
        <w:rPr>
          <w:rFonts w:ascii="Times New Roman" w:hAnsi="Times New Roman" w:cs="Times New Roman"/>
          <w:b/>
          <w:bCs/>
        </w:rPr>
        <w:t>Distribuția respondenților pe tipuri de organizații/actori (%)</w:t>
      </w:r>
    </w:p>
    <w:p w14:paraId="2A5FF123" w14:textId="7EB134C2" w:rsidR="00466DC9" w:rsidRPr="002E0C1B" w:rsidRDefault="00466DC9" w:rsidP="002E0C1B">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w:t>
      </w:r>
      <w:r w:rsidR="00A32D84" w:rsidRPr="002E0C1B">
        <w:rPr>
          <w:rFonts w:ascii="Times New Roman" w:hAnsi="Times New Roman" w:cs="Times New Roman"/>
          <w:sz w:val="22"/>
          <w:szCs w:val="22"/>
        </w:rPr>
        <w:t>colectate din chestionar</w:t>
      </w:r>
    </w:p>
    <w:p w14:paraId="1C28E0A7" w14:textId="6F41FA7F" w:rsidR="00466DC9" w:rsidRPr="00466DC9" w:rsidRDefault="00466DC9" w:rsidP="002E0C1B">
      <w:pPr>
        <w:spacing w:before="120" w:after="120" w:line="240" w:lineRule="auto"/>
        <w:rPr>
          <w:rFonts w:ascii="Times New Roman" w:hAnsi="Times New Roman" w:cs="Times New Roman"/>
        </w:rPr>
      </w:pPr>
      <w:r w:rsidRPr="00466DC9">
        <w:rPr>
          <w:rFonts w:ascii="Times New Roman" w:hAnsi="Times New Roman" w:cs="Times New Roman"/>
        </w:rPr>
        <w:t>Distribuția răspunsurilor indică o pondere majoritară a sectorului public:</w:t>
      </w:r>
    </w:p>
    <w:p w14:paraId="673F26A8" w14:textId="5556E3E8" w:rsidR="00466DC9" w:rsidRPr="00466DC9" w:rsidRDefault="00466DC9" w:rsidP="00D81598">
      <w:pPr>
        <w:numPr>
          <w:ilvl w:val="0"/>
          <w:numId w:val="37"/>
        </w:numPr>
        <w:spacing w:before="120" w:after="120" w:line="240" w:lineRule="auto"/>
        <w:rPr>
          <w:rFonts w:ascii="Times New Roman" w:hAnsi="Times New Roman" w:cs="Times New Roman"/>
        </w:rPr>
      </w:pPr>
      <w:r w:rsidRPr="00466DC9">
        <w:rPr>
          <w:rFonts w:ascii="Times New Roman" w:hAnsi="Times New Roman" w:cs="Times New Roman"/>
        </w:rPr>
        <w:t xml:space="preserve">Administrație publică locală/județeană: </w:t>
      </w:r>
      <w:r w:rsidRPr="00466DC9">
        <w:rPr>
          <w:rFonts w:ascii="Times New Roman" w:hAnsi="Times New Roman" w:cs="Times New Roman"/>
          <w:b/>
          <w:bCs/>
        </w:rPr>
        <w:t>55,88%</w:t>
      </w:r>
      <w:r w:rsidR="00A32D84" w:rsidRPr="002E0C1B">
        <w:rPr>
          <w:rFonts w:ascii="Times New Roman" w:hAnsi="Times New Roman" w:cs="Times New Roman"/>
        </w:rPr>
        <w:t>;</w:t>
      </w:r>
    </w:p>
    <w:p w14:paraId="7CBAD983" w14:textId="1E887686" w:rsidR="00466DC9" w:rsidRPr="00466DC9" w:rsidRDefault="00466DC9" w:rsidP="00D81598">
      <w:pPr>
        <w:numPr>
          <w:ilvl w:val="0"/>
          <w:numId w:val="37"/>
        </w:numPr>
        <w:spacing w:before="120" w:after="120" w:line="240" w:lineRule="auto"/>
        <w:rPr>
          <w:rFonts w:ascii="Times New Roman" w:hAnsi="Times New Roman" w:cs="Times New Roman"/>
        </w:rPr>
      </w:pPr>
      <w:r w:rsidRPr="00466DC9">
        <w:rPr>
          <w:rFonts w:ascii="Times New Roman" w:hAnsi="Times New Roman" w:cs="Times New Roman"/>
        </w:rPr>
        <w:t>Operator</w:t>
      </w:r>
      <w:r w:rsidR="00A32D84" w:rsidRPr="002E0C1B">
        <w:rPr>
          <w:rFonts w:ascii="Times New Roman" w:hAnsi="Times New Roman" w:cs="Times New Roman"/>
        </w:rPr>
        <w:t>i</w:t>
      </w:r>
      <w:r w:rsidRPr="00466DC9">
        <w:rPr>
          <w:rFonts w:ascii="Times New Roman" w:hAnsi="Times New Roman" w:cs="Times New Roman"/>
        </w:rPr>
        <w:t xml:space="preserve"> economic</w:t>
      </w:r>
      <w:r w:rsidR="00CB5CAD" w:rsidRPr="002E0C1B">
        <w:rPr>
          <w:rFonts w:ascii="Times New Roman" w:hAnsi="Times New Roman" w:cs="Times New Roman"/>
        </w:rPr>
        <w:t>i</w:t>
      </w:r>
      <w:r w:rsidRPr="00466DC9">
        <w:rPr>
          <w:rFonts w:ascii="Times New Roman" w:hAnsi="Times New Roman" w:cs="Times New Roman"/>
        </w:rPr>
        <w:t xml:space="preserve">: </w:t>
      </w:r>
      <w:r w:rsidRPr="00466DC9">
        <w:rPr>
          <w:rFonts w:ascii="Times New Roman" w:hAnsi="Times New Roman" w:cs="Times New Roman"/>
          <w:b/>
          <w:bCs/>
        </w:rPr>
        <w:t>23,53%</w:t>
      </w:r>
      <w:r w:rsidR="00A32D84" w:rsidRPr="002E0C1B">
        <w:rPr>
          <w:rFonts w:ascii="Times New Roman" w:hAnsi="Times New Roman" w:cs="Times New Roman"/>
        </w:rPr>
        <w:t>;</w:t>
      </w:r>
    </w:p>
    <w:p w14:paraId="273778AB" w14:textId="196A973E" w:rsidR="00466DC9" w:rsidRPr="00466DC9" w:rsidRDefault="00466DC9" w:rsidP="00D81598">
      <w:pPr>
        <w:numPr>
          <w:ilvl w:val="0"/>
          <w:numId w:val="37"/>
        </w:numPr>
        <w:spacing w:before="120" w:after="120" w:line="240" w:lineRule="auto"/>
        <w:rPr>
          <w:rFonts w:ascii="Times New Roman" w:hAnsi="Times New Roman" w:cs="Times New Roman"/>
        </w:rPr>
      </w:pPr>
      <w:r w:rsidRPr="00466DC9">
        <w:rPr>
          <w:rFonts w:ascii="Times New Roman" w:hAnsi="Times New Roman" w:cs="Times New Roman"/>
        </w:rPr>
        <w:t>ONG / think-tank</w:t>
      </w:r>
      <w:r w:rsidR="00A32D84" w:rsidRPr="002E0C1B">
        <w:rPr>
          <w:rFonts w:ascii="Times New Roman" w:hAnsi="Times New Roman" w:cs="Times New Roman"/>
        </w:rPr>
        <w:t xml:space="preserve"> cu activitate în mobilitate, mediu, sustenabilitate</w:t>
      </w:r>
      <w:r w:rsidRPr="00466DC9">
        <w:rPr>
          <w:rFonts w:ascii="Times New Roman" w:hAnsi="Times New Roman" w:cs="Times New Roman"/>
        </w:rPr>
        <w:t xml:space="preserve">: </w:t>
      </w:r>
      <w:r w:rsidRPr="00466DC9">
        <w:rPr>
          <w:rFonts w:ascii="Times New Roman" w:hAnsi="Times New Roman" w:cs="Times New Roman"/>
          <w:b/>
          <w:bCs/>
        </w:rPr>
        <w:t>11,76%</w:t>
      </w:r>
      <w:r w:rsidR="00A32D84" w:rsidRPr="002E0C1B">
        <w:rPr>
          <w:rFonts w:ascii="Times New Roman" w:hAnsi="Times New Roman" w:cs="Times New Roman"/>
        </w:rPr>
        <w:t>;</w:t>
      </w:r>
    </w:p>
    <w:p w14:paraId="161CF830" w14:textId="0B9B0BDB" w:rsidR="00466DC9" w:rsidRPr="00466DC9" w:rsidRDefault="00466DC9" w:rsidP="00D81598">
      <w:pPr>
        <w:numPr>
          <w:ilvl w:val="0"/>
          <w:numId w:val="37"/>
        </w:numPr>
        <w:spacing w:before="120" w:after="120" w:line="240" w:lineRule="auto"/>
        <w:rPr>
          <w:rFonts w:ascii="Times New Roman" w:hAnsi="Times New Roman" w:cs="Times New Roman"/>
        </w:rPr>
      </w:pPr>
      <w:r w:rsidRPr="00466DC9">
        <w:rPr>
          <w:rFonts w:ascii="Times New Roman" w:hAnsi="Times New Roman" w:cs="Times New Roman"/>
        </w:rPr>
        <w:t>Organizație profesională/patronat</w:t>
      </w:r>
      <w:r w:rsidR="00CB5CAD" w:rsidRPr="002E0C1B">
        <w:rPr>
          <w:rFonts w:ascii="Times New Roman" w:hAnsi="Times New Roman" w:cs="Times New Roman"/>
        </w:rPr>
        <w:t>/ asociație de profil</w:t>
      </w:r>
      <w:r w:rsidRPr="00466DC9">
        <w:rPr>
          <w:rFonts w:ascii="Times New Roman" w:hAnsi="Times New Roman" w:cs="Times New Roman"/>
        </w:rPr>
        <w:t xml:space="preserve">: </w:t>
      </w:r>
      <w:r w:rsidRPr="00466DC9">
        <w:rPr>
          <w:rFonts w:ascii="Times New Roman" w:hAnsi="Times New Roman" w:cs="Times New Roman"/>
          <w:b/>
          <w:bCs/>
        </w:rPr>
        <w:t>2,94%</w:t>
      </w:r>
      <w:r w:rsidR="00CB5CAD" w:rsidRPr="002E0C1B">
        <w:rPr>
          <w:rFonts w:ascii="Times New Roman" w:hAnsi="Times New Roman" w:cs="Times New Roman"/>
        </w:rPr>
        <w:t>;</w:t>
      </w:r>
    </w:p>
    <w:p w14:paraId="706A0886" w14:textId="0358B428" w:rsidR="00466DC9" w:rsidRPr="00466DC9" w:rsidRDefault="00466DC9" w:rsidP="00D81598">
      <w:pPr>
        <w:numPr>
          <w:ilvl w:val="0"/>
          <w:numId w:val="37"/>
        </w:numPr>
        <w:spacing w:before="120" w:after="120" w:line="240" w:lineRule="auto"/>
        <w:rPr>
          <w:rFonts w:ascii="Times New Roman" w:hAnsi="Times New Roman" w:cs="Times New Roman"/>
        </w:rPr>
      </w:pPr>
      <w:r w:rsidRPr="00466DC9">
        <w:rPr>
          <w:rFonts w:ascii="Times New Roman" w:hAnsi="Times New Roman" w:cs="Times New Roman"/>
        </w:rPr>
        <w:t xml:space="preserve">Alt tip: </w:t>
      </w:r>
      <w:r w:rsidRPr="00466DC9">
        <w:rPr>
          <w:rFonts w:ascii="Times New Roman" w:hAnsi="Times New Roman" w:cs="Times New Roman"/>
          <w:b/>
          <w:bCs/>
        </w:rPr>
        <w:t>5,88%</w:t>
      </w:r>
      <w:r w:rsidR="00CB5CAD" w:rsidRPr="002E0C1B">
        <w:rPr>
          <w:rFonts w:ascii="Times New Roman" w:hAnsi="Times New Roman" w:cs="Times New Roman"/>
        </w:rPr>
        <w:t xml:space="preserve"> </w:t>
      </w:r>
      <w:r w:rsidRPr="00466DC9">
        <w:rPr>
          <w:rFonts w:ascii="Times New Roman" w:hAnsi="Times New Roman" w:cs="Times New Roman"/>
        </w:rPr>
        <w:t>– specificat „</w:t>
      </w:r>
      <w:r w:rsidRPr="00466DC9">
        <w:rPr>
          <w:rFonts w:ascii="Times New Roman" w:hAnsi="Times New Roman" w:cs="Times New Roman"/>
          <w:b/>
          <w:bCs/>
        </w:rPr>
        <w:t>persoană fizică</w:t>
      </w:r>
      <w:r w:rsidRPr="00466DC9">
        <w:rPr>
          <w:rFonts w:ascii="Times New Roman" w:hAnsi="Times New Roman" w:cs="Times New Roman"/>
        </w:rPr>
        <w:t>”.</w:t>
      </w:r>
    </w:p>
    <w:p w14:paraId="7F3E6147" w14:textId="51D9A2FA" w:rsidR="00865514" w:rsidRPr="002E0C1B" w:rsidRDefault="00E761F8" w:rsidP="002E0C1B">
      <w:pPr>
        <w:spacing w:before="120" w:after="120" w:line="240" w:lineRule="auto"/>
        <w:jc w:val="both"/>
        <w:rPr>
          <w:rFonts w:ascii="Times New Roman" w:hAnsi="Times New Roman" w:cs="Times New Roman"/>
        </w:rPr>
      </w:pPr>
      <w:r w:rsidRPr="002E0C1B">
        <w:rPr>
          <w:rFonts w:ascii="Times New Roman" w:hAnsi="Times New Roman" w:cs="Times New Roman"/>
        </w:rPr>
        <w:t xml:space="preserve">Peste </w:t>
      </w:r>
      <w:r w:rsidR="00466DC9" w:rsidRPr="00466DC9">
        <w:rPr>
          <w:rFonts w:ascii="Times New Roman" w:hAnsi="Times New Roman" w:cs="Times New Roman"/>
        </w:rPr>
        <w:t>jumătate din răspunsuri</w:t>
      </w:r>
      <w:r w:rsidR="00CB5CAD" w:rsidRPr="002E0C1B">
        <w:rPr>
          <w:rFonts w:ascii="Times New Roman" w:hAnsi="Times New Roman" w:cs="Times New Roman"/>
        </w:rPr>
        <w:t>le înregistrate provin</w:t>
      </w:r>
      <w:r w:rsidR="00466DC9" w:rsidRPr="00466DC9">
        <w:rPr>
          <w:rFonts w:ascii="Times New Roman" w:hAnsi="Times New Roman" w:cs="Times New Roman"/>
        </w:rPr>
        <w:t xml:space="preserve"> din </w:t>
      </w:r>
      <w:r w:rsidRPr="002E0C1B">
        <w:rPr>
          <w:rFonts w:ascii="Times New Roman" w:hAnsi="Times New Roman" w:cs="Times New Roman"/>
          <w:b/>
          <w:bCs/>
        </w:rPr>
        <w:t xml:space="preserve">mediul public - </w:t>
      </w:r>
      <w:r w:rsidR="00466DC9" w:rsidRPr="00466DC9">
        <w:rPr>
          <w:rFonts w:ascii="Times New Roman" w:hAnsi="Times New Roman" w:cs="Times New Roman"/>
          <w:b/>
          <w:bCs/>
        </w:rPr>
        <w:t>administrație</w:t>
      </w:r>
      <w:r w:rsidRPr="002E0C1B">
        <w:rPr>
          <w:rFonts w:ascii="Times New Roman" w:hAnsi="Times New Roman" w:cs="Times New Roman"/>
          <w:b/>
          <w:bCs/>
        </w:rPr>
        <w:t xml:space="preserve"> publică locală/județeană</w:t>
      </w:r>
      <w:r w:rsidR="00466DC9" w:rsidRPr="00466DC9">
        <w:rPr>
          <w:rFonts w:ascii="Times New Roman" w:hAnsi="Times New Roman" w:cs="Times New Roman"/>
        </w:rPr>
        <w:t>, ceea ce conferă greutate perspectivei privind planificarea, finanțarea publică și conformarea la reglementări. Interpretările ulterioare ale chestionarului vor reflecta în primul rând prioritățile instituțiilor (ex. infrastructură, guvernanță, coordonare inter-instituțională).</w:t>
      </w:r>
      <w:r w:rsidR="00D17A30" w:rsidRPr="002E0C1B">
        <w:rPr>
          <w:rFonts w:ascii="Times New Roman" w:hAnsi="Times New Roman" w:cs="Times New Roman"/>
        </w:rPr>
        <w:t xml:space="preserve"> </w:t>
      </w:r>
      <w:r w:rsidR="00466DC9" w:rsidRPr="00466DC9">
        <w:rPr>
          <w:rFonts w:ascii="Times New Roman" w:hAnsi="Times New Roman" w:cs="Times New Roman"/>
        </w:rPr>
        <w:t xml:space="preserve">Aproape un sfert din eșantion surprinde perspectiva </w:t>
      </w:r>
      <w:r w:rsidR="00865514" w:rsidRPr="002E0C1B">
        <w:rPr>
          <w:rFonts w:ascii="Times New Roman" w:hAnsi="Times New Roman" w:cs="Times New Roman"/>
          <w:b/>
          <w:bCs/>
        </w:rPr>
        <w:t xml:space="preserve">operatorilor economici </w:t>
      </w:r>
      <w:r w:rsidR="00D17A30" w:rsidRPr="002E0C1B">
        <w:rPr>
          <w:rFonts w:ascii="Times New Roman" w:hAnsi="Times New Roman" w:cs="Times New Roman"/>
          <w:b/>
          <w:bCs/>
        </w:rPr>
        <w:t>(</w:t>
      </w:r>
      <w:r w:rsidR="00865514" w:rsidRPr="002E0C1B">
        <w:rPr>
          <w:rFonts w:ascii="Times New Roman" w:hAnsi="Times New Roman" w:cs="Times New Roman"/>
          <w:b/>
          <w:bCs/>
        </w:rPr>
        <w:t>23,53%</w:t>
      </w:r>
      <w:r w:rsidR="00D17A30" w:rsidRPr="002E0C1B">
        <w:rPr>
          <w:rFonts w:ascii="Times New Roman" w:hAnsi="Times New Roman" w:cs="Times New Roman"/>
          <w:b/>
          <w:bCs/>
        </w:rPr>
        <w:t>)</w:t>
      </w:r>
      <w:r w:rsidR="00865514" w:rsidRPr="002E0C1B">
        <w:rPr>
          <w:rFonts w:ascii="Times New Roman" w:hAnsi="Times New Roman" w:cs="Times New Roman"/>
        </w:rPr>
        <w:t xml:space="preserve">, urmat de </w:t>
      </w:r>
      <w:r w:rsidR="00865514" w:rsidRPr="002E0C1B">
        <w:rPr>
          <w:rFonts w:ascii="Times New Roman" w:hAnsi="Times New Roman" w:cs="Times New Roman"/>
          <w:b/>
          <w:bCs/>
        </w:rPr>
        <w:t xml:space="preserve">ONG-uri și think-tank-uri </w:t>
      </w:r>
      <w:r w:rsidR="00F77605" w:rsidRPr="002E0C1B">
        <w:rPr>
          <w:rFonts w:ascii="Times New Roman" w:hAnsi="Times New Roman" w:cs="Times New Roman"/>
          <w:b/>
          <w:bCs/>
        </w:rPr>
        <w:t xml:space="preserve">cu activitate în mobilitate, mediu, sustenabilitate </w:t>
      </w:r>
      <w:r w:rsidR="00865514" w:rsidRPr="002E0C1B">
        <w:rPr>
          <w:rFonts w:ascii="Times New Roman" w:hAnsi="Times New Roman" w:cs="Times New Roman"/>
          <w:b/>
          <w:bCs/>
        </w:rPr>
        <w:t>cu 11,76%</w:t>
      </w:r>
      <w:r w:rsidR="00865514" w:rsidRPr="002E0C1B">
        <w:rPr>
          <w:rFonts w:ascii="Times New Roman" w:hAnsi="Times New Roman" w:cs="Times New Roman"/>
        </w:rPr>
        <w:t xml:space="preserve">. </w:t>
      </w:r>
      <w:r w:rsidR="00865514" w:rsidRPr="002E0C1B">
        <w:rPr>
          <w:rFonts w:ascii="Times New Roman" w:hAnsi="Times New Roman" w:cs="Times New Roman"/>
          <w:b/>
          <w:bCs/>
        </w:rPr>
        <w:t>Organizațiile profesionale/patronale</w:t>
      </w:r>
      <w:r w:rsidR="00865514" w:rsidRPr="002E0C1B">
        <w:rPr>
          <w:rFonts w:ascii="Times New Roman" w:hAnsi="Times New Roman" w:cs="Times New Roman"/>
        </w:rPr>
        <w:t xml:space="preserve"> au o pondere de </w:t>
      </w:r>
      <w:r w:rsidR="00865514" w:rsidRPr="002E0C1B">
        <w:rPr>
          <w:rFonts w:ascii="Times New Roman" w:hAnsi="Times New Roman" w:cs="Times New Roman"/>
          <w:b/>
          <w:bCs/>
        </w:rPr>
        <w:t>2,94%</w:t>
      </w:r>
      <w:r w:rsidR="00865514" w:rsidRPr="002E0C1B">
        <w:rPr>
          <w:rFonts w:ascii="Times New Roman" w:hAnsi="Times New Roman" w:cs="Times New Roman"/>
        </w:rPr>
        <w:t xml:space="preserve">, iar categoria </w:t>
      </w:r>
      <w:r w:rsidR="00865514" w:rsidRPr="002E0C1B">
        <w:rPr>
          <w:rFonts w:ascii="Times New Roman" w:hAnsi="Times New Roman" w:cs="Times New Roman"/>
          <w:b/>
          <w:bCs/>
        </w:rPr>
        <w:t xml:space="preserve">„alt tip” </w:t>
      </w:r>
      <w:r w:rsidR="00865514" w:rsidRPr="002E0C1B">
        <w:rPr>
          <w:rFonts w:ascii="Times New Roman" w:hAnsi="Times New Roman" w:cs="Times New Roman"/>
        </w:rPr>
        <w:t xml:space="preserve">cumulează </w:t>
      </w:r>
      <w:r w:rsidR="00865514" w:rsidRPr="002E0C1B">
        <w:rPr>
          <w:rFonts w:ascii="Times New Roman" w:hAnsi="Times New Roman" w:cs="Times New Roman"/>
          <w:b/>
          <w:bCs/>
        </w:rPr>
        <w:t>5,88%</w:t>
      </w:r>
      <w:r w:rsidR="00865514" w:rsidRPr="002E0C1B">
        <w:rPr>
          <w:rFonts w:ascii="Times New Roman" w:hAnsi="Times New Roman" w:cs="Times New Roman"/>
        </w:rPr>
        <w:t xml:space="preserve">. </w:t>
      </w:r>
    </w:p>
    <w:p w14:paraId="7F86BFD1" w14:textId="4F179C32" w:rsidR="00466DC9" w:rsidRPr="00466DC9" w:rsidRDefault="0063618A" w:rsidP="002E0C1B">
      <w:pPr>
        <w:spacing w:before="120" w:after="120" w:line="240" w:lineRule="auto"/>
        <w:jc w:val="both"/>
        <w:rPr>
          <w:rFonts w:ascii="Times New Roman" w:hAnsi="Times New Roman" w:cs="Times New Roman"/>
        </w:rPr>
      </w:pPr>
      <w:r w:rsidRPr="002E0C1B">
        <w:rPr>
          <w:rFonts w:ascii="Times New Roman" w:hAnsi="Times New Roman" w:cs="Times New Roman"/>
        </w:rPr>
        <w:t>D</w:t>
      </w:r>
      <w:r w:rsidR="00865514" w:rsidRPr="002E0C1B">
        <w:rPr>
          <w:rFonts w:ascii="Times New Roman" w:hAnsi="Times New Roman" w:cs="Times New Roman"/>
        </w:rPr>
        <w:t xml:space="preserve">istribuția </w:t>
      </w:r>
      <w:r w:rsidRPr="002E0C1B">
        <w:rPr>
          <w:rFonts w:ascii="Times New Roman" w:hAnsi="Times New Roman" w:cs="Times New Roman"/>
        </w:rPr>
        <w:t xml:space="preserve">răspunsurilor </w:t>
      </w:r>
      <w:r w:rsidR="00865514" w:rsidRPr="002E0C1B">
        <w:rPr>
          <w:rFonts w:ascii="Times New Roman" w:hAnsi="Times New Roman" w:cs="Times New Roman"/>
        </w:rPr>
        <w:t xml:space="preserve">este structurată preponderent în jurul actorilor instituționali cu atribuții de guvernanță și planificare, în timp ce perspectivele operaționale ale mediului de afaceri sunt prezente într-o </w:t>
      </w:r>
      <w:r w:rsidR="00865514" w:rsidRPr="002E0C1B">
        <w:rPr>
          <w:rFonts w:ascii="Times New Roman" w:hAnsi="Times New Roman" w:cs="Times New Roman"/>
        </w:rPr>
        <w:lastRenderedPageBreak/>
        <w:t>proporție mai redusă, dar totuși substanțială pentru a contura tendințe la nivelul sectorului privat. Dimensiunea societății civile este vizibilă, deși minoritară, iar componenta asociativ-profesională are o expresie aproape punctuală. Categoria „alt tip” introduce răspunsuri neinstituționale (persoană fizică), distincte ca natură față de celelalte categorii, aspect relevant pentru interpretarea nuanțată a rezultatelor pe familii de actori.</w:t>
      </w:r>
    </w:p>
    <w:p w14:paraId="4C68462B" w14:textId="77777777" w:rsidR="00942E67" w:rsidRPr="002E0C1B" w:rsidRDefault="00942E67" w:rsidP="002E0C1B">
      <w:pPr>
        <w:spacing w:before="120" w:after="120" w:line="240" w:lineRule="auto"/>
        <w:rPr>
          <w:rFonts w:ascii="Times New Roman" w:hAnsi="Times New Roman" w:cs="Times New Roman"/>
          <w:b/>
          <w:bCs/>
        </w:rPr>
      </w:pPr>
      <w:r w:rsidRPr="002E0C1B">
        <w:rPr>
          <w:rFonts w:ascii="Times New Roman" w:hAnsi="Times New Roman" w:cs="Times New Roman"/>
          <w:b/>
          <w:bCs/>
        </w:rPr>
        <w:t>2. Care este zona principală în care activați sau aveți competență directă în județul Tulcea?</w:t>
      </w:r>
    </w:p>
    <w:p w14:paraId="7B4619DC" w14:textId="2B1A0520" w:rsidR="00942E67" w:rsidRPr="002E0C1B" w:rsidRDefault="00942E67" w:rsidP="002E0C1B">
      <w:pPr>
        <w:spacing w:before="120" w:after="120" w:line="240" w:lineRule="auto"/>
        <w:rPr>
          <w:rFonts w:ascii="Times New Roman" w:hAnsi="Times New Roman" w:cs="Times New Roman"/>
        </w:rPr>
      </w:pPr>
    </w:p>
    <w:p w14:paraId="4B5B0BED" w14:textId="5A44870E" w:rsidR="00827722" w:rsidRPr="002E0C1B" w:rsidRDefault="00827722" w:rsidP="002E0C1B">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3</w:t>
      </w:r>
      <w:r w:rsidRPr="002E0C1B">
        <w:rPr>
          <w:rFonts w:ascii="Times New Roman" w:hAnsi="Times New Roman" w:cs="Times New Roman"/>
          <w:b/>
          <w:bCs/>
        </w:rPr>
        <w:fldChar w:fldCharType="end"/>
      </w:r>
      <w:r w:rsidRPr="002E0C1B">
        <w:rPr>
          <w:rFonts w:ascii="Times New Roman" w:hAnsi="Times New Roman" w:cs="Times New Roman"/>
          <w:b/>
          <w:bCs/>
        </w:rPr>
        <w:t xml:space="preserve">:  Distribuția respondenților pe tipuri de </w:t>
      </w:r>
      <w:r w:rsidR="00BC1956" w:rsidRPr="002E0C1B">
        <w:rPr>
          <w:rFonts w:ascii="Times New Roman" w:hAnsi="Times New Roman" w:cs="Times New Roman"/>
          <w:b/>
          <w:bCs/>
        </w:rPr>
        <w:t>activități/competență</w:t>
      </w:r>
      <w:r w:rsidRPr="002E0C1B">
        <w:rPr>
          <w:rFonts w:ascii="Times New Roman" w:hAnsi="Times New Roman" w:cs="Times New Roman"/>
          <w:b/>
          <w:bCs/>
        </w:rPr>
        <w:t xml:space="preserve"> (%)</w:t>
      </w:r>
    </w:p>
    <w:p w14:paraId="7EE563FA" w14:textId="061E5987" w:rsidR="00827722" w:rsidRPr="002E0C1B" w:rsidRDefault="00827722" w:rsidP="002E0C1B">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w:t>
      </w:r>
      <w:r w:rsidR="002E0C1B" w:rsidRPr="002E0C1B">
        <w:rPr>
          <w:rFonts w:ascii="Times New Roman" w:hAnsi="Times New Roman" w:cs="Times New Roman"/>
          <w:noProof/>
          <w:sz w:val="22"/>
          <w:szCs w:val="22"/>
          <w:lang w:eastAsia="ro-RO"/>
        </w:rPr>
        <w:drawing>
          <wp:inline distT="0" distB="0" distL="0" distR="0" wp14:anchorId="555D313C" wp14:editId="7336B68A">
            <wp:extent cx="5934075" cy="1504950"/>
            <wp:effectExtent l="0" t="0" r="0" b="0"/>
            <wp:docPr id="140147192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945777-1791-DE75-556E-AD9F023EE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E0C1B">
        <w:rPr>
          <w:rFonts w:ascii="Times New Roman" w:hAnsi="Times New Roman" w:cs="Times New Roman"/>
          <w:sz w:val="22"/>
          <w:szCs w:val="22"/>
        </w:rPr>
        <w:t xml:space="preserve"> baza datelor colectate din chestionar</w:t>
      </w:r>
    </w:p>
    <w:p w14:paraId="530A27EF" w14:textId="0351DC0D" w:rsidR="00D24794" w:rsidRPr="002E0C1B" w:rsidRDefault="00D24794" w:rsidP="002E0C1B">
      <w:pPr>
        <w:spacing w:before="120" w:after="120" w:line="240" w:lineRule="auto"/>
        <w:jc w:val="both"/>
        <w:rPr>
          <w:rFonts w:ascii="Times New Roman" w:hAnsi="Times New Roman" w:cs="Times New Roman"/>
        </w:rPr>
      </w:pPr>
      <w:r w:rsidRPr="002E0C1B">
        <w:rPr>
          <w:rFonts w:ascii="Times New Roman" w:hAnsi="Times New Roman" w:cs="Times New Roman"/>
        </w:rPr>
        <w:t xml:space="preserve">Distribuția arată o </w:t>
      </w:r>
      <w:r w:rsidRPr="002E0C1B">
        <w:rPr>
          <w:rFonts w:ascii="Times New Roman" w:hAnsi="Times New Roman" w:cs="Times New Roman"/>
          <w:b/>
          <w:bCs/>
        </w:rPr>
        <w:t>concentrare a activității/competenței în polul urban și în arealul Deltei</w:t>
      </w:r>
      <w:r w:rsidRPr="002E0C1B">
        <w:rPr>
          <w:rFonts w:ascii="Times New Roman" w:hAnsi="Times New Roman" w:cs="Times New Roman"/>
        </w:rPr>
        <w:t xml:space="preserve">: Municipiul Tulcea cumulează 34,29%, iar Zona Delta Dunării 22,86%, însumând 57,15% din răspunsuri. </w:t>
      </w:r>
      <w:r w:rsidR="00BC1956" w:rsidRPr="002E0C1B">
        <w:rPr>
          <w:rFonts w:ascii="Times New Roman" w:hAnsi="Times New Roman" w:cs="Times New Roman"/>
        </w:rPr>
        <w:t xml:space="preserve">Din restul răspunsurilor, </w:t>
      </w:r>
      <w:r w:rsidRPr="002E0C1B">
        <w:rPr>
          <w:rFonts w:ascii="Times New Roman" w:hAnsi="Times New Roman" w:cs="Times New Roman"/>
        </w:rPr>
        <w:t xml:space="preserve">20,00% indică </w:t>
      </w:r>
      <w:r w:rsidR="00537C2E" w:rsidRPr="002E0C1B">
        <w:rPr>
          <w:rFonts w:ascii="Times New Roman" w:hAnsi="Times New Roman" w:cs="Times New Roman"/>
        </w:rPr>
        <w:t xml:space="preserve">o </w:t>
      </w:r>
      <w:r w:rsidRPr="002E0C1B">
        <w:rPr>
          <w:rFonts w:ascii="Times New Roman" w:hAnsi="Times New Roman" w:cs="Times New Roman"/>
        </w:rPr>
        <w:t>acoperire la nivelul „județului în ansamblu”, ceea ce sugerează prezența unor responsabilități transversale. Subzonele Nord și Sud sunt reprezentate simetric, câte 8,57% fiecare, semnalând o distribuție echilibrată între aceste două arii, dar cu pondere mai redusă decât polii menționați anterior. Categoria „Nu se aplică/Altă zonă” însumează 5,71%</w:t>
      </w:r>
      <w:r w:rsidR="005C4F93" w:rsidRPr="002E0C1B">
        <w:rPr>
          <w:rFonts w:ascii="Times New Roman" w:hAnsi="Times New Roman" w:cs="Times New Roman"/>
        </w:rPr>
        <w:t xml:space="preserve"> din totalul răspunsurilor acordate</w:t>
      </w:r>
      <w:r w:rsidRPr="002E0C1B">
        <w:rPr>
          <w:rFonts w:ascii="Times New Roman" w:hAnsi="Times New Roman" w:cs="Times New Roman"/>
        </w:rPr>
        <w:t>, cu precizări punctuale („Topolog”, „teritoriul ITI Delta Dunării”), ceea ce indică fie delimitări teritoriale specifice, fie zone de competență neacoperite de opțiunile standard.</w:t>
      </w:r>
    </w:p>
    <w:p w14:paraId="0293ECC0" w14:textId="486DF76A" w:rsidR="00D17A30" w:rsidRPr="002E0C1B" w:rsidRDefault="00D17A30" w:rsidP="002E0C1B">
      <w:pPr>
        <w:spacing w:before="120" w:after="120" w:line="240" w:lineRule="auto"/>
        <w:jc w:val="both"/>
        <w:rPr>
          <w:rFonts w:ascii="Times New Roman" w:hAnsi="Times New Roman" w:cs="Times New Roman"/>
          <w:b/>
          <w:bCs/>
        </w:rPr>
      </w:pPr>
      <w:r w:rsidRPr="002E0C1B">
        <w:rPr>
          <w:rFonts w:ascii="Times New Roman" w:hAnsi="Times New Roman" w:cs="Times New Roman"/>
          <w:b/>
          <w:bCs/>
        </w:rPr>
        <w:t>3. Ce tipuri de transport sunt, în opinia dumneavoastră, cele mai utilizate în județul Tulcea?</w:t>
      </w:r>
    </w:p>
    <w:p w14:paraId="34A4C669" w14:textId="19BC3977" w:rsidR="00D17A30" w:rsidRPr="002E0C1B" w:rsidRDefault="00D17A30" w:rsidP="002E0C1B">
      <w:pPr>
        <w:spacing w:before="120" w:after="120" w:line="240" w:lineRule="auto"/>
        <w:jc w:val="both"/>
        <w:rPr>
          <w:rFonts w:ascii="Times New Roman" w:hAnsi="Times New Roman" w:cs="Times New Roman"/>
        </w:rPr>
      </w:pPr>
      <w:r w:rsidRPr="002E0C1B">
        <w:rPr>
          <w:rFonts w:ascii="Times New Roman" w:hAnsi="Times New Roman" w:cs="Times New Roman"/>
          <w:noProof/>
          <w:lang w:eastAsia="ro-RO"/>
        </w:rPr>
        <w:drawing>
          <wp:inline distT="0" distB="0" distL="0" distR="0" wp14:anchorId="64F54ECA" wp14:editId="0293350F">
            <wp:extent cx="5991225" cy="2076450"/>
            <wp:effectExtent l="0" t="0" r="0" b="0"/>
            <wp:docPr id="315099692"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96D411-93BE-60DC-4F80-05DB24614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900C0A" w14:textId="414E3408" w:rsidR="00BC1956" w:rsidRPr="002E0C1B" w:rsidRDefault="00BC1956" w:rsidP="002E0C1B">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4</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sidR="00544DC2" w:rsidRPr="002E0C1B">
        <w:rPr>
          <w:rFonts w:ascii="Times New Roman" w:hAnsi="Times New Roman" w:cs="Times New Roman"/>
          <w:b/>
          <w:bCs/>
        </w:rPr>
        <w:t>Cele mai utilizate tipuri de transport în județul Tulcea</w:t>
      </w:r>
      <w:r w:rsidRPr="002E0C1B">
        <w:rPr>
          <w:rFonts w:ascii="Times New Roman" w:hAnsi="Times New Roman" w:cs="Times New Roman"/>
          <w:b/>
          <w:bCs/>
        </w:rPr>
        <w:t xml:space="preserve"> (%)</w:t>
      </w:r>
    </w:p>
    <w:p w14:paraId="282ABEEA" w14:textId="77777777" w:rsidR="00BC1956" w:rsidRPr="002E0C1B" w:rsidRDefault="00BC1956" w:rsidP="002E0C1B">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594D0EB5" w14:textId="05AAB34C" w:rsidR="007F5444" w:rsidRPr="007F5444" w:rsidRDefault="0078020D" w:rsidP="002E0C1B">
      <w:pPr>
        <w:spacing w:before="120" w:after="120" w:line="240" w:lineRule="auto"/>
        <w:jc w:val="both"/>
        <w:rPr>
          <w:rFonts w:ascii="Times New Roman" w:hAnsi="Times New Roman" w:cs="Times New Roman"/>
        </w:rPr>
      </w:pPr>
      <w:r w:rsidRPr="002E0C1B">
        <w:rPr>
          <w:rFonts w:ascii="Times New Roman" w:hAnsi="Times New Roman" w:cs="Times New Roman"/>
        </w:rPr>
        <w:lastRenderedPageBreak/>
        <w:t xml:space="preserve">Distribuția procentuală a răspunsurilor colectate conturează </w:t>
      </w:r>
      <w:r w:rsidRPr="002E0C1B">
        <w:rPr>
          <w:rFonts w:ascii="Times New Roman" w:hAnsi="Times New Roman" w:cs="Times New Roman"/>
          <w:b/>
          <w:bCs/>
        </w:rPr>
        <w:t>două grupuri distincte de moduri</w:t>
      </w:r>
      <w:r w:rsidR="005F0B4C" w:rsidRPr="002E0C1B">
        <w:rPr>
          <w:rFonts w:ascii="Times New Roman" w:hAnsi="Times New Roman" w:cs="Times New Roman"/>
          <w:b/>
          <w:bCs/>
        </w:rPr>
        <w:t xml:space="preserve"> de transport</w:t>
      </w:r>
      <w:r w:rsidRPr="002E0C1B">
        <w:rPr>
          <w:rFonts w:ascii="Times New Roman" w:hAnsi="Times New Roman" w:cs="Times New Roman"/>
        </w:rPr>
        <w:t xml:space="preserve">. </w:t>
      </w:r>
      <w:r w:rsidR="007F5444" w:rsidRPr="002E0C1B">
        <w:rPr>
          <w:rFonts w:ascii="Times New Roman" w:hAnsi="Times New Roman" w:cs="Times New Roman"/>
        </w:rPr>
        <w:t xml:space="preserve">Primul, </w:t>
      </w:r>
      <w:r w:rsidR="007F5444" w:rsidRPr="002E0C1B">
        <w:rPr>
          <w:rFonts w:ascii="Times New Roman" w:hAnsi="Times New Roman" w:cs="Times New Roman"/>
          <w:b/>
          <w:bCs/>
        </w:rPr>
        <w:t>dominant</w:t>
      </w:r>
      <w:r w:rsidR="007F5444" w:rsidRPr="002E0C1B">
        <w:rPr>
          <w:rFonts w:ascii="Times New Roman" w:hAnsi="Times New Roman" w:cs="Times New Roman"/>
        </w:rPr>
        <w:t xml:space="preserve">, reunește </w:t>
      </w:r>
      <w:r w:rsidR="007F5444" w:rsidRPr="002E0C1B">
        <w:rPr>
          <w:rFonts w:ascii="Times New Roman" w:hAnsi="Times New Roman" w:cs="Times New Roman"/>
          <w:b/>
          <w:bCs/>
        </w:rPr>
        <w:t>transportul naval</w:t>
      </w:r>
      <w:r w:rsidR="007F5444" w:rsidRPr="002E0C1B">
        <w:rPr>
          <w:rFonts w:ascii="Times New Roman" w:hAnsi="Times New Roman" w:cs="Times New Roman"/>
        </w:rPr>
        <w:t xml:space="preserve"> și </w:t>
      </w:r>
      <w:r w:rsidR="007F5444" w:rsidRPr="002E0C1B">
        <w:rPr>
          <w:rFonts w:ascii="Times New Roman" w:hAnsi="Times New Roman" w:cs="Times New Roman"/>
          <w:b/>
          <w:bCs/>
        </w:rPr>
        <w:t>transportul turistic</w:t>
      </w:r>
      <w:r w:rsidR="007F5444" w:rsidRPr="002E0C1B">
        <w:rPr>
          <w:rFonts w:ascii="Times New Roman" w:hAnsi="Times New Roman" w:cs="Times New Roman"/>
        </w:rPr>
        <w:t xml:space="preserve"> (fiecare </w:t>
      </w:r>
      <w:r w:rsidR="007F5444" w:rsidRPr="002E0C1B">
        <w:rPr>
          <w:rFonts w:ascii="Times New Roman" w:hAnsi="Times New Roman" w:cs="Times New Roman"/>
          <w:b/>
          <w:bCs/>
        </w:rPr>
        <w:t>23,16%</w:t>
      </w:r>
      <w:r w:rsidR="007F5444" w:rsidRPr="002E0C1B">
        <w:rPr>
          <w:rFonts w:ascii="Times New Roman" w:hAnsi="Times New Roman" w:cs="Times New Roman"/>
        </w:rPr>
        <w:t xml:space="preserve">) împreună cu </w:t>
      </w:r>
      <w:r w:rsidR="007F5444" w:rsidRPr="002E0C1B">
        <w:rPr>
          <w:rFonts w:ascii="Times New Roman" w:hAnsi="Times New Roman" w:cs="Times New Roman"/>
          <w:b/>
          <w:bCs/>
        </w:rPr>
        <w:t>transportul rutier de marfă</w:t>
      </w:r>
      <w:r w:rsidR="007F5444" w:rsidRPr="002E0C1B">
        <w:rPr>
          <w:rFonts w:ascii="Times New Roman" w:hAnsi="Times New Roman" w:cs="Times New Roman"/>
        </w:rPr>
        <w:t xml:space="preserve"> și </w:t>
      </w:r>
      <w:r w:rsidR="007F5444" w:rsidRPr="002E0C1B">
        <w:rPr>
          <w:rFonts w:ascii="Times New Roman" w:hAnsi="Times New Roman" w:cs="Times New Roman"/>
          <w:b/>
          <w:bCs/>
        </w:rPr>
        <w:t>transportul rutier de persoane</w:t>
      </w:r>
      <w:r w:rsidR="007F5444" w:rsidRPr="002E0C1B">
        <w:rPr>
          <w:rFonts w:ascii="Times New Roman" w:hAnsi="Times New Roman" w:cs="Times New Roman"/>
        </w:rPr>
        <w:t xml:space="preserve"> (fiecare </w:t>
      </w:r>
      <w:r w:rsidR="007F5444" w:rsidRPr="002E0C1B">
        <w:rPr>
          <w:rFonts w:ascii="Times New Roman" w:hAnsi="Times New Roman" w:cs="Times New Roman"/>
          <w:b/>
          <w:bCs/>
        </w:rPr>
        <w:t>22,11%</w:t>
      </w:r>
      <w:r w:rsidR="007F5444" w:rsidRPr="002E0C1B">
        <w:rPr>
          <w:rFonts w:ascii="Times New Roman" w:hAnsi="Times New Roman" w:cs="Times New Roman"/>
        </w:rPr>
        <w:t xml:space="preserve">). Structura </w:t>
      </w:r>
      <w:r w:rsidR="007F5444" w:rsidRPr="002E0C1B">
        <w:rPr>
          <w:rFonts w:ascii="Times New Roman" w:hAnsi="Times New Roman" w:cs="Times New Roman"/>
          <w:b/>
          <w:bCs/>
        </w:rPr>
        <w:t>reflectă specificul județului Tulcea</w:t>
      </w:r>
      <w:r w:rsidR="007F5444" w:rsidRPr="002E0C1B">
        <w:rPr>
          <w:rFonts w:ascii="Times New Roman" w:hAnsi="Times New Roman" w:cs="Times New Roman"/>
        </w:rPr>
        <w:t xml:space="preserve">: </w:t>
      </w:r>
      <w:r w:rsidR="007F5444" w:rsidRPr="002E0C1B">
        <w:rPr>
          <w:rFonts w:ascii="Times New Roman" w:hAnsi="Times New Roman" w:cs="Times New Roman"/>
          <w:b/>
          <w:bCs/>
        </w:rPr>
        <w:t>Delta Dunării</w:t>
      </w:r>
      <w:r w:rsidR="007F5444" w:rsidRPr="002E0C1B">
        <w:rPr>
          <w:rFonts w:ascii="Times New Roman" w:hAnsi="Times New Roman" w:cs="Times New Roman"/>
        </w:rPr>
        <w:t xml:space="preserve"> și rețeaua hidrografică determină o </w:t>
      </w:r>
      <w:r w:rsidR="007F5444" w:rsidRPr="002E0C1B">
        <w:rPr>
          <w:rFonts w:ascii="Times New Roman" w:hAnsi="Times New Roman" w:cs="Times New Roman"/>
          <w:b/>
          <w:bCs/>
        </w:rPr>
        <w:t>utilizare frecventă a transportului pe apă</w:t>
      </w:r>
      <w:r w:rsidR="007F5444" w:rsidRPr="002E0C1B">
        <w:rPr>
          <w:rFonts w:ascii="Times New Roman" w:hAnsi="Times New Roman" w:cs="Times New Roman"/>
        </w:rPr>
        <w:t xml:space="preserve"> și a fluxurilor turistice spre/dinspre Deltă, în timp ce </w:t>
      </w:r>
      <w:r w:rsidR="007F5444" w:rsidRPr="002E0C1B">
        <w:rPr>
          <w:rFonts w:ascii="Times New Roman" w:hAnsi="Times New Roman" w:cs="Times New Roman"/>
          <w:b/>
          <w:bCs/>
        </w:rPr>
        <w:t>rutierul rămâne conectorul teritorial principal</w:t>
      </w:r>
      <w:r w:rsidR="007F5444" w:rsidRPr="002E0C1B">
        <w:rPr>
          <w:rFonts w:ascii="Times New Roman" w:hAnsi="Times New Roman" w:cs="Times New Roman"/>
        </w:rPr>
        <w:t xml:space="preserve"> pentru relația cu restul Dobrogei și pentru aprovizionare.</w:t>
      </w:r>
      <w:r w:rsidR="00544DC2" w:rsidRPr="002E0C1B">
        <w:rPr>
          <w:rFonts w:ascii="Times New Roman" w:hAnsi="Times New Roman" w:cs="Times New Roman"/>
        </w:rPr>
        <w:t xml:space="preserve"> </w:t>
      </w:r>
      <w:r w:rsidR="007F5444" w:rsidRPr="007F5444">
        <w:rPr>
          <w:rFonts w:ascii="Times New Roman" w:hAnsi="Times New Roman" w:cs="Times New Roman"/>
        </w:rPr>
        <w:t xml:space="preserve">Al doilea grup, </w:t>
      </w:r>
      <w:r w:rsidR="007F5444" w:rsidRPr="007F5444">
        <w:rPr>
          <w:rFonts w:ascii="Times New Roman" w:hAnsi="Times New Roman" w:cs="Times New Roman"/>
          <w:b/>
          <w:bCs/>
        </w:rPr>
        <w:t>marginal</w:t>
      </w:r>
      <w:r w:rsidR="007F5444" w:rsidRPr="007F5444">
        <w:rPr>
          <w:rFonts w:ascii="Times New Roman" w:hAnsi="Times New Roman" w:cs="Times New Roman"/>
        </w:rPr>
        <w:t xml:space="preserve">, include </w:t>
      </w:r>
      <w:r w:rsidR="007F5444" w:rsidRPr="007F5444">
        <w:rPr>
          <w:rFonts w:ascii="Times New Roman" w:hAnsi="Times New Roman" w:cs="Times New Roman"/>
          <w:b/>
          <w:bCs/>
        </w:rPr>
        <w:t>transportul specializat</w:t>
      </w:r>
      <w:r w:rsidR="007F5444" w:rsidRPr="007F5444">
        <w:rPr>
          <w:rFonts w:ascii="Times New Roman" w:hAnsi="Times New Roman" w:cs="Times New Roman"/>
        </w:rPr>
        <w:t xml:space="preserve"> (</w:t>
      </w:r>
      <w:r w:rsidR="007F5444" w:rsidRPr="007F5444">
        <w:rPr>
          <w:rFonts w:ascii="Times New Roman" w:hAnsi="Times New Roman" w:cs="Times New Roman"/>
          <w:b/>
          <w:bCs/>
        </w:rPr>
        <w:t>4,21%</w:t>
      </w:r>
      <w:r w:rsidR="007F5444" w:rsidRPr="007F5444">
        <w:rPr>
          <w:rFonts w:ascii="Times New Roman" w:hAnsi="Times New Roman" w:cs="Times New Roman"/>
        </w:rPr>
        <w:t xml:space="preserve">), </w:t>
      </w:r>
      <w:r w:rsidR="007F5444" w:rsidRPr="007F5444">
        <w:rPr>
          <w:rFonts w:ascii="Times New Roman" w:hAnsi="Times New Roman" w:cs="Times New Roman"/>
          <w:b/>
          <w:bCs/>
        </w:rPr>
        <w:t>transportul feroviar</w:t>
      </w:r>
      <w:r w:rsidR="007F5444" w:rsidRPr="007F5444">
        <w:rPr>
          <w:rFonts w:ascii="Times New Roman" w:hAnsi="Times New Roman" w:cs="Times New Roman"/>
        </w:rPr>
        <w:t xml:space="preserve"> (</w:t>
      </w:r>
      <w:r w:rsidR="007F5444" w:rsidRPr="007F5444">
        <w:rPr>
          <w:rFonts w:ascii="Times New Roman" w:hAnsi="Times New Roman" w:cs="Times New Roman"/>
          <w:b/>
          <w:bCs/>
        </w:rPr>
        <w:t>3,16%</w:t>
      </w:r>
      <w:r w:rsidR="007F5444" w:rsidRPr="007F5444">
        <w:rPr>
          <w:rFonts w:ascii="Times New Roman" w:hAnsi="Times New Roman" w:cs="Times New Roman"/>
        </w:rPr>
        <w:t xml:space="preserve">) și </w:t>
      </w:r>
      <w:r w:rsidR="007F5444" w:rsidRPr="007F5444">
        <w:rPr>
          <w:rFonts w:ascii="Times New Roman" w:hAnsi="Times New Roman" w:cs="Times New Roman"/>
          <w:b/>
          <w:bCs/>
        </w:rPr>
        <w:t>transportul aerian</w:t>
      </w:r>
      <w:r w:rsidR="007F5444" w:rsidRPr="007F5444">
        <w:rPr>
          <w:rFonts w:ascii="Times New Roman" w:hAnsi="Times New Roman" w:cs="Times New Roman"/>
        </w:rPr>
        <w:t xml:space="preserve"> (</w:t>
      </w:r>
      <w:r w:rsidR="007F5444" w:rsidRPr="007F5444">
        <w:rPr>
          <w:rFonts w:ascii="Times New Roman" w:hAnsi="Times New Roman" w:cs="Times New Roman"/>
          <w:b/>
          <w:bCs/>
        </w:rPr>
        <w:t>2,11%</w:t>
      </w:r>
      <w:r w:rsidR="007F5444" w:rsidRPr="007F5444">
        <w:rPr>
          <w:rFonts w:ascii="Times New Roman" w:hAnsi="Times New Roman" w:cs="Times New Roman"/>
        </w:rPr>
        <w:t xml:space="preserve">). </w:t>
      </w:r>
      <w:r w:rsidR="001E45A7" w:rsidRPr="002E0C1B">
        <w:rPr>
          <w:rFonts w:ascii="Times New Roman" w:hAnsi="Times New Roman" w:cs="Times New Roman"/>
        </w:rPr>
        <w:t>Ponderile reduse reflectă caracteristicile infrastructurale și funcționale ale județului: capăt feroviar cu ofertă limitată, activitate aeriană preponderent sezonieră/charter și o structură economică în care operațiunile cu mărfuri periculoase sau agabaritice au incidență scăzută. În ansamblu, percepția respondenților reflectă o utilizare predominantă a modurilor adaptate geografiei hidrografice și profilului turistic al județului, completată de rolul rutierului ca principal conector teritorial.</w:t>
      </w:r>
      <w:r w:rsidR="007F5444" w:rsidRPr="007F5444">
        <w:rPr>
          <w:rFonts w:ascii="Times New Roman" w:hAnsi="Times New Roman" w:cs="Times New Roman"/>
        </w:rPr>
        <w:t>.</w:t>
      </w:r>
    </w:p>
    <w:p w14:paraId="6E96F999" w14:textId="4F4A66F9" w:rsidR="00D17A30" w:rsidRPr="002E0C1B" w:rsidRDefault="00544DC2" w:rsidP="002E0C1B">
      <w:pPr>
        <w:spacing w:before="120" w:after="120" w:line="240" w:lineRule="auto"/>
        <w:jc w:val="both"/>
        <w:rPr>
          <w:rFonts w:ascii="Times New Roman" w:hAnsi="Times New Roman" w:cs="Times New Roman"/>
          <w:b/>
          <w:bCs/>
        </w:rPr>
      </w:pPr>
      <w:r w:rsidRPr="002E0C1B">
        <w:rPr>
          <w:rFonts w:ascii="Times New Roman" w:hAnsi="Times New Roman" w:cs="Times New Roman"/>
          <w:b/>
          <w:bCs/>
        </w:rPr>
        <w:t>4. Care sunt principalele industrii sau sectoare economice care generează trafic de transport semnificativ în județul Tulcea (atât mărfuri, cât și persoane)?</w:t>
      </w:r>
    </w:p>
    <w:p w14:paraId="366B171C" w14:textId="67ABB7BA" w:rsidR="00544DC2" w:rsidRPr="002E0C1B" w:rsidRDefault="00544DC2" w:rsidP="002E0C1B">
      <w:pPr>
        <w:spacing w:before="120" w:after="120" w:line="240" w:lineRule="auto"/>
        <w:jc w:val="both"/>
        <w:rPr>
          <w:rFonts w:ascii="Times New Roman" w:hAnsi="Times New Roman" w:cs="Times New Roman"/>
          <w:b/>
          <w:bCs/>
        </w:rPr>
      </w:pPr>
      <w:r w:rsidRPr="002E0C1B">
        <w:rPr>
          <w:rFonts w:ascii="Times New Roman" w:hAnsi="Times New Roman" w:cs="Times New Roman"/>
          <w:noProof/>
          <w:lang w:eastAsia="ro-RO"/>
        </w:rPr>
        <w:drawing>
          <wp:inline distT="0" distB="0" distL="0" distR="0" wp14:anchorId="41B45BF9" wp14:editId="46A8B9E5">
            <wp:extent cx="5991225" cy="2486025"/>
            <wp:effectExtent l="0" t="0" r="0" b="0"/>
            <wp:docPr id="198245857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C15B61-CD94-DE63-809B-BDE3DA6B9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55C93A" w14:textId="2F0268B2" w:rsidR="00544DC2" w:rsidRPr="002E0C1B" w:rsidRDefault="00544DC2" w:rsidP="002E0C1B">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5</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sidR="00537C2E" w:rsidRPr="002E0C1B">
        <w:rPr>
          <w:rFonts w:ascii="Times New Roman" w:hAnsi="Times New Roman" w:cs="Times New Roman"/>
          <w:b/>
          <w:bCs/>
        </w:rPr>
        <w:t xml:space="preserve">Principalele industrii sau sectoare economice care generează trafic de transport semnificativ în județul Tulcea (atât mărfuri, cât și persoane - </w:t>
      </w:r>
      <w:r w:rsidRPr="002E0C1B">
        <w:rPr>
          <w:rFonts w:ascii="Times New Roman" w:hAnsi="Times New Roman" w:cs="Times New Roman"/>
          <w:b/>
          <w:bCs/>
        </w:rPr>
        <w:t>%)</w:t>
      </w:r>
    </w:p>
    <w:p w14:paraId="16158533" w14:textId="77777777" w:rsidR="00544DC2" w:rsidRPr="002E0C1B" w:rsidRDefault="00544DC2" w:rsidP="002E0C1B">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51F986CB" w14:textId="0B47018A" w:rsidR="00C27014" w:rsidRPr="00C27014" w:rsidRDefault="00C27014" w:rsidP="002E0C1B">
      <w:pPr>
        <w:pStyle w:val="Smn"/>
        <w:rPr>
          <w:rFonts w:ascii="Times New Roman" w:hAnsi="Times New Roman" w:cs="Times New Roman"/>
          <w:sz w:val="22"/>
          <w:szCs w:val="22"/>
        </w:rPr>
      </w:pPr>
      <w:r w:rsidRPr="00C27014">
        <w:rPr>
          <w:rFonts w:ascii="Times New Roman" w:hAnsi="Times New Roman" w:cs="Times New Roman"/>
          <w:sz w:val="22"/>
          <w:szCs w:val="22"/>
        </w:rPr>
        <w:t xml:space="preserve">Distribuția indică prioritizarea a cinci sectoare cu aport dominant la generarea mobilității: </w:t>
      </w:r>
      <w:r w:rsidRPr="00C27014">
        <w:rPr>
          <w:rFonts w:ascii="Times New Roman" w:hAnsi="Times New Roman" w:cs="Times New Roman"/>
          <w:b/>
          <w:bCs/>
          <w:sz w:val="22"/>
          <w:szCs w:val="22"/>
        </w:rPr>
        <w:t>turism – 21,90%</w:t>
      </w:r>
      <w:r w:rsidRPr="00C27014">
        <w:rPr>
          <w:rFonts w:ascii="Times New Roman" w:hAnsi="Times New Roman" w:cs="Times New Roman"/>
          <w:sz w:val="22"/>
          <w:szCs w:val="22"/>
        </w:rPr>
        <w:t xml:space="preserve">, </w:t>
      </w:r>
      <w:r w:rsidRPr="00C27014">
        <w:rPr>
          <w:rFonts w:ascii="Times New Roman" w:hAnsi="Times New Roman" w:cs="Times New Roman"/>
          <w:b/>
          <w:bCs/>
          <w:sz w:val="22"/>
          <w:szCs w:val="22"/>
        </w:rPr>
        <w:t>comerț și distribuție – 19,05%</w:t>
      </w:r>
      <w:r w:rsidRPr="00C27014">
        <w:rPr>
          <w:rFonts w:ascii="Times New Roman" w:hAnsi="Times New Roman" w:cs="Times New Roman"/>
          <w:sz w:val="22"/>
          <w:szCs w:val="22"/>
        </w:rPr>
        <w:t xml:space="preserve">, </w:t>
      </w:r>
      <w:r w:rsidRPr="00C27014">
        <w:rPr>
          <w:rFonts w:ascii="Times New Roman" w:hAnsi="Times New Roman" w:cs="Times New Roman"/>
          <w:b/>
          <w:bCs/>
          <w:sz w:val="22"/>
          <w:szCs w:val="22"/>
        </w:rPr>
        <w:t>agricultură și pescuit – 16,19%</w:t>
      </w:r>
      <w:r w:rsidRPr="00C27014">
        <w:rPr>
          <w:rFonts w:ascii="Times New Roman" w:hAnsi="Times New Roman" w:cs="Times New Roman"/>
          <w:sz w:val="22"/>
          <w:szCs w:val="22"/>
        </w:rPr>
        <w:t xml:space="preserve">, </w:t>
      </w:r>
      <w:r w:rsidRPr="00C27014">
        <w:rPr>
          <w:rFonts w:ascii="Times New Roman" w:hAnsi="Times New Roman" w:cs="Times New Roman"/>
          <w:b/>
          <w:bCs/>
          <w:sz w:val="22"/>
          <w:szCs w:val="22"/>
        </w:rPr>
        <w:t>industrie (șantier naval, metalurgie, materiale de construcții) – 14,29%</w:t>
      </w:r>
      <w:r w:rsidRPr="00C27014">
        <w:rPr>
          <w:rFonts w:ascii="Times New Roman" w:hAnsi="Times New Roman" w:cs="Times New Roman"/>
          <w:sz w:val="22"/>
          <w:szCs w:val="22"/>
        </w:rPr>
        <w:t xml:space="preserve"> și </w:t>
      </w:r>
      <w:r w:rsidRPr="00C27014">
        <w:rPr>
          <w:rFonts w:ascii="Times New Roman" w:hAnsi="Times New Roman" w:cs="Times New Roman"/>
          <w:b/>
          <w:bCs/>
          <w:sz w:val="22"/>
          <w:szCs w:val="22"/>
        </w:rPr>
        <w:t>construcții – 12,38%</w:t>
      </w:r>
      <w:r w:rsidRPr="00C27014">
        <w:rPr>
          <w:rFonts w:ascii="Times New Roman" w:hAnsi="Times New Roman" w:cs="Times New Roman"/>
          <w:sz w:val="22"/>
          <w:szCs w:val="22"/>
        </w:rPr>
        <w:t xml:space="preserve">. Profilul rezultat </w:t>
      </w:r>
      <w:r w:rsidRPr="002E0C1B">
        <w:rPr>
          <w:rFonts w:ascii="Times New Roman" w:hAnsi="Times New Roman" w:cs="Times New Roman"/>
          <w:sz w:val="22"/>
          <w:szCs w:val="22"/>
        </w:rPr>
        <w:t>poate fi</w:t>
      </w:r>
      <w:r w:rsidRPr="00C27014">
        <w:rPr>
          <w:rFonts w:ascii="Times New Roman" w:hAnsi="Times New Roman" w:cs="Times New Roman"/>
          <w:sz w:val="22"/>
          <w:szCs w:val="22"/>
        </w:rPr>
        <w:t xml:space="preserve"> explicat de </w:t>
      </w:r>
      <w:r w:rsidRPr="00C27014">
        <w:rPr>
          <w:rFonts w:ascii="Times New Roman" w:hAnsi="Times New Roman" w:cs="Times New Roman"/>
          <w:b/>
          <w:bCs/>
          <w:sz w:val="22"/>
          <w:szCs w:val="22"/>
        </w:rPr>
        <w:t>geografia deltaică</w:t>
      </w:r>
      <w:r w:rsidRPr="00C27014">
        <w:rPr>
          <w:rFonts w:ascii="Times New Roman" w:hAnsi="Times New Roman" w:cs="Times New Roman"/>
          <w:sz w:val="22"/>
          <w:szCs w:val="22"/>
        </w:rPr>
        <w:t xml:space="preserve"> și de </w:t>
      </w:r>
      <w:r w:rsidRPr="00C27014">
        <w:rPr>
          <w:rFonts w:ascii="Times New Roman" w:hAnsi="Times New Roman" w:cs="Times New Roman"/>
          <w:b/>
          <w:bCs/>
          <w:sz w:val="22"/>
          <w:szCs w:val="22"/>
        </w:rPr>
        <w:t>structura economică</w:t>
      </w:r>
      <w:r w:rsidRPr="00C27014">
        <w:rPr>
          <w:rFonts w:ascii="Times New Roman" w:hAnsi="Times New Roman" w:cs="Times New Roman"/>
          <w:sz w:val="22"/>
          <w:szCs w:val="22"/>
        </w:rPr>
        <w:t xml:space="preserve"> a județului Tulcea: </w:t>
      </w:r>
      <w:r w:rsidRPr="00C27014">
        <w:rPr>
          <w:rFonts w:ascii="Times New Roman" w:hAnsi="Times New Roman" w:cs="Times New Roman"/>
          <w:b/>
          <w:bCs/>
          <w:sz w:val="22"/>
          <w:szCs w:val="22"/>
        </w:rPr>
        <w:t>Delta Dunării</w:t>
      </w:r>
      <w:r w:rsidRPr="00C27014">
        <w:rPr>
          <w:rFonts w:ascii="Times New Roman" w:hAnsi="Times New Roman" w:cs="Times New Roman"/>
          <w:sz w:val="22"/>
          <w:szCs w:val="22"/>
        </w:rPr>
        <w:t xml:space="preserve"> induce fluxuri consistente de </w:t>
      </w:r>
      <w:r w:rsidRPr="00C27014">
        <w:rPr>
          <w:rFonts w:ascii="Times New Roman" w:hAnsi="Times New Roman" w:cs="Times New Roman"/>
          <w:b/>
          <w:bCs/>
          <w:sz w:val="22"/>
          <w:szCs w:val="22"/>
        </w:rPr>
        <w:t>persoane</w:t>
      </w:r>
      <w:r w:rsidRPr="00C27014">
        <w:rPr>
          <w:rFonts w:ascii="Times New Roman" w:hAnsi="Times New Roman" w:cs="Times New Roman"/>
          <w:sz w:val="22"/>
          <w:szCs w:val="22"/>
        </w:rPr>
        <w:t xml:space="preserve"> și servicii conexe; </w:t>
      </w:r>
      <w:r w:rsidRPr="00C27014">
        <w:rPr>
          <w:rFonts w:ascii="Times New Roman" w:hAnsi="Times New Roman" w:cs="Times New Roman"/>
          <w:b/>
          <w:bCs/>
          <w:sz w:val="22"/>
          <w:szCs w:val="22"/>
        </w:rPr>
        <w:t>aprovizionarea localităților dispersate</w:t>
      </w:r>
      <w:r w:rsidRPr="00C27014">
        <w:rPr>
          <w:rFonts w:ascii="Times New Roman" w:hAnsi="Times New Roman" w:cs="Times New Roman"/>
          <w:sz w:val="22"/>
          <w:szCs w:val="22"/>
        </w:rPr>
        <w:t xml:space="preserve"> susține </w:t>
      </w:r>
      <w:r w:rsidRPr="00C27014">
        <w:rPr>
          <w:rFonts w:ascii="Times New Roman" w:hAnsi="Times New Roman" w:cs="Times New Roman"/>
          <w:b/>
          <w:bCs/>
          <w:sz w:val="22"/>
          <w:szCs w:val="22"/>
        </w:rPr>
        <w:t>comerțul și distribuția</w:t>
      </w:r>
      <w:r w:rsidRPr="00C27014">
        <w:rPr>
          <w:rFonts w:ascii="Times New Roman" w:hAnsi="Times New Roman" w:cs="Times New Roman"/>
          <w:sz w:val="22"/>
          <w:szCs w:val="22"/>
        </w:rPr>
        <w:t xml:space="preserve">; ponderea </w:t>
      </w:r>
      <w:r w:rsidRPr="00C27014">
        <w:rPr>
          <w:rFonts w:ascii="Times New Roman" w:hAnsi="Times New Roman" w:cs="Times New Roman"/>
          <w:b/>
          <w:bCs/>
          <w:sz w:val="22"/>
          <w:szCs w:val="22"/>
        </w:rPr>
        <w:t>agriculturii și pescuitului</w:t>
      </w:r>
      <w:r w:rsidRPr="00C27014">
        <w:rPr>
          <w:rFonts w:ascii="Times New Roman" w:hAnsi="Times New Roman" w:cs="Times New Roman"/>
          <w:sz w:val="22"/>
          <w:szCs w:val="22"/>
        </w:rPr>
        <w:t xml:space="preserve"> derivă din utilizarea extensivă a resurselor naturale; iar </w:t>
      </w:r>
      <w:r w:rsidRPr="00C27014">
        <w:rPr>
          <w:rFonts w:ascii="Times New Roman" w:hAnsi="Times New Roman" w:cs="Times New Roman"/>
          <w:b/>
          <w:bCs/>
          <w:sz w:val="22"/>
          <w:szCs w:val="22"/>
        </w:rPr>
        <w:t>industria</w:t>
      </w:r>
      <w:r w:rsidRPr="00C27014">
        <w:rPr>
          <w:rFonts w:ascii="Times New Roman" w:hAnsi="Times New Roman" w:cs="Times New Roman"/>
          <w:sz w:val="22"/>
          <w:szCs w:val="22"/>
        </w:rPr>
        <w:t xml:space="preserve"> și </w:t>
      </w:r>
      <w:r w:rsidRPr="00C27014">
        <w:rPr>
          <w:rFonts w:ascii="Times New Roman" w:hAnsi="Times New Roman" w:cs="Times New Roman"/>
          <w:b/>
          <w:bCs/>
          <w:sz w:val="22"/>
          <w:szCs w:val="22"/>
        </w:rPr>
        <w:t>construcțiile</w:t>
      </w:r>
      <w:r w:rsidRPr="00C27014">
        <w:rPr>
          <w:rFonts w:ascii="Times New Roman" w:hAnsi="Times New Roman" w:cs="Times New Roman"/>
          <w:sz w:val="22"/>
          <w:szCs w:val="22"/>
        </w:rPr>
        <w:t xml:space="preserve"> generează transport de </w:t>
      </w:r>
      <w:r w:rsidRPr="00C27014">
        <w:rPr>
          <w:rFonts w:ascii="Times New Roman" w:hAnsi="Times New Roman" w:cs="Times New Roman"/>
          <w:b/>
          <w:bCs/>
          <w:sz w:val="22"/>
          <w:szCs w:val="22"/>
        </w:rPr>
        <w:t>mărfuri</w:t>
      </w:r>
      <w:r w:rsidRPr="00C27014">
        <w:rPr>
          <w:rFonts w:ascii="Times New Roman" w:hAnsi="Times New Roman" w:cs="Times New Roman"/>
          <w:sz w:val="22"/>
          <w:szCs w:val="22"/>
        </w:rPr>
        <w:t xml:space="preserve"> și </w:t>
      </w:r>
      <w:r w:rsidRPr="00C27014">
        <w:rPr>
          <w:rFonts w:ascii="Times New Roman" w:hAnsi="Times New Roman" w:cs="Times New Roman"/>
          <w:b/>
          <w:bCs/>
          <w:sz w:val="22"/>
          <w:szCs w:val="22"/>
        </w:rPr>
        <w:t>forță de muncă</w:t>
      </w:r>
      <w:r w:rsidRPr="00C27014">
        <w:rPr>
          <w:rFonts w:ascii="Times New Roman" w:hAnsi="Times New Roman" w:cs="Times New Roman"/>
          <w:sz w:val="22"/>
          <w:szCs w:val="22"/>
        </w:rPr>
        <w:t xml:space="preserve"> prin activități cu volum material ridicat (</w:t>
      </w:r>
      <w:r w:rsidRPr="002E0C1B">
        <w:rPr>
          <w:rFonts w:ascii="Times New Roman" w:hAnsi="Times New Roman" w:cs="Times New Roman"/>
          <w:sz w:val="22"/>
          <w:szCs w:val="22"/>
        </w:rPr>
        <w:t xml:space="preserve">de </w:t>
      </w:r>
      <w:r w:rsidRPr="00C27014">
        <w:rPr>
          <w:rFonts w:ascii="Times New Roman" w:hAnsi="Times New Roman" w:cs="Times New Roman"/>
          <w:sz w:val="22"/>
          <w:szCs w:val="22"/>
        </w:rPr>
        <w:t>ex</w:t>
      </w:r>
      <w:r w:rsidRPr="002E0C1B">
        <w:rPr>
          <w:rFonts w:ascii="Times New Roman" w:hAnsi="Times New Roman" w:cs="Times New Roman"/>
          <w:sz w:val="22"/>
          <w:szCs w:val="22"/>
        </w:rPr>
        <w:t>emplu,</w:t>
      </w:r>
      <w:r w:rsidRPr="00C27014">
        <w:rPr>
          <w:rFonts w:ascii="Times New Roman" w:hAnsi="Times New Roman" w:cs="Times New Roman"/>
          <w:sz w:val="22"/>
          <w:szCs w:val="22"/>
        </w:rPr>
        <w:t xml:space="preserve"> </w:t>
      </w:r>
      <w:r w:rsidRPr="00C27014">
        <w:rPr>
          <w:rFonts w:ascii="Times New Roman" w:hAnsi="Times New Roman" w:cs="Times New Roman"/>
          <w:b/>
          <w:bCs/>
          <w:sz w:val="22"/>
          <w:szCs w:val="22"/>
        </w:rPr>
        <w:t>șantierul naval</w:t>
      </w:r>
      <w:r w:rsidRPr="00C27014">
        <w:rPr>
          <w:rFonts w:ascii="Times New Roman" w:hAnsi="Times New Roman" w:cs="Times New Roman"/>
          <w:sz w:val="22"/>
          <w:szCs w:val="22"/>
        </w:rPr>
        <w:t>, materiale de construcții).</w:t>
      </w:r>
    </w:p>
    <w:p w14:paraId="6CB50E1B" w14:textId="77777777" w:rsidR="00C27014" w:rsidRPr="00C27014" w:rsidRDefault="00C27014" w:rsidP="002E0C1B">
      <w:pPr>
        <w:pStyle w:val="Smn"/>
        <w:rPr>
          <w:rFonts w:ascii="Times New Roman" w:hAnsi="Times New Roman" w:cs="Times New Roman"/>
          <w:sz w:val="22"/>
          <w:szCs w:val="22"/>
        </w:rPr>
      </w:pPr>
      <w:r w:rsidRPr="00C27014">
        <w:rPr>
          <w:rFonts w:ascii="Times New Roman" w:hAnsi="Times New Roman" w:cs="Times New Roman"/>
          <w:sz w:val="22"/>
          <w:szCs w:val="22"/>
        </w:rPr>
        <w:t xml:space="preserve">La polul inferior se situează </w:t>
      </w:r>
      <w:r w:rsidRPr="00C27014">
        <w:rPr>
          <w:rFonts w:ascii="Times New Roman" w:hAnsi="Times New Roman" w:cs="Times New Roman"/>
          <w:b/>
          <w:bCs/>
          <w:sz w:val="22"/>
          <w:szCs w:val="22"/>
        </w:rPr>
        <w:t>serviciile non-turistice – 7,62%</w:t>
      </w:r>
      <w:r w:rsidRPr="00C27014">
        <w:rPr>
          <w:rFonts w:ascii="Times New Roman" w:hAnsi="Times New Roman" w:cs="Times New Roman"/>
          <w:sz w:val="22"/>
          <w:szCs w:val="22"/>
        </w:rPr>
        <w:t xml:space="preserve">, </w:t>
      </w:r>
      <w:r w:rsidRPr="00C27014">
        <w:rPr>
          <w:rFonts w:ascii="Times New Roman" w:hAnsi="Times New Roman" w:cs="Times New Roman"/>
          <w:b/>
          <w:bCs/>
          <w:sz w:val="22"/>
          <w:szCs w:val="22"/>
        </w:rPr>
        <w:t>administrația publică – 3,81%</w:t>
      </w:r>
      <w:r w:rsidRPr="00C27014">
        <w:rPr>
          <w:rFonts w:ascii="Times New Roman" w:hAnsi="Times New Roman" w:cs="Times New Roman"/>
          <w:sz w:val="22"/>
          <w:szCs w:val="22"/>
        </w:rPr>
        <w:t xml:space="preserve">, </w:t>
      </w:r>
      <w:r w:rsidRPr="00C27014">
        <w:rPr>
          <w:rFonts w:ascii="Times New Roman" w:hAnsi="Times New Roman" w:cs="Times New Roman"/>
          <w:b/>
          <w:bCs/>
          <w:sz w:val="22"/>
          <w:szCs w:val="22"/>
        </w:rPr>
        <w:t>industria alimentară – 2,86%</w:t>
      </w:r>
      <w:r w:rsidRPr="00C27014">
        <w:rPr>
          <w:rFonts w:ascii="Times New Roman" w:hAnsi="Times New Roman" w:cs="Times New Roman"/>
          <w:sz w:val="22"/>
          <w:szCs w:val="22"/>
        </w:rPr>
        <w:t xml:space="preserve"> și </w:t>
      </w:r>
      <w:r w:rsidRPr="00C27014">
        <w:rPr>
          <w:rFonts w:ascii="Times New Roman" w:hAnsi="Times New Roman" w:cs="Times New Roman"/>
          <w:b/>
          <w:bCs/>
          <w:sz w:val="22"/>
          <w:szCs w:val="22"/>
        </w:rPr>
        <w:t>energia – 0,95%</w:t>
      </w:r>
      <w:r w:rsidRPr="00C27014">
        <w:rPr>
          <w:rFonts w:ascii="Times New Roman" w:hAnsi="Times New Roman" w:cs="Times New Roman"/>
          <w:sz w:val="22"/>
          <w:szCs w:val="22"/>
        </w:rPr>
        <w:t xml:space="preserve">, respectiv </w:t>
      </w:r>
      <w:r w:rsidRPr="00C27014">
        <w:rPr>
          <w:rFonts w:ascii="Times New Roman" w:hAnsi="Times New Roman" w:cs="Times New Roman"/>
          <w:b/>
          <w:bCs/>
          <w:sz w:val="22"/>
          <w:szCs w:val="22"/>
        </w:rPr>
        <w:t>„Altele – 0,95%”</w:t>
      </w:r>
      <w:r w:rsidRPr="00C27014">
        <w:rPr>
          <w:rFonts w:ascii="Times New Roman" w:hAnsi="Times New Roman" w:cs="Times New Roman"/>
          <w:sz w:val="22"/>
          <w:szCs w:val="22"/>
        </w:rPr>
        <w:t xml:space="preserve"> (mențiune: </w:t>
      </w:r>
      <w:r w:rsidRPr="00C27014">
        <w:rPr>
          <w:rFonts w:ascii="Times New Roman" w:hAnsi="Times New Roman" w:cs="Times New Roman"/>
          <w:b/>
          <w:bCs/>
          <w:sz w:val="22"/>
          <w:szCs w:val="22"/>
        </w:rPr>
        <w:t>extracții miniere – piatră</w:t>
      </w:r>
      <w:r w:rsidRPr="00C27014">
        <w:rPr>
          <w:rFonts w:ascii="Times New Roman" w:hAnsi="Times New Roman" w:cs="Times New Roman"/>
          <w:sz w:val="22"/>
          <w:szCs w:val="22"/>
        </w:rPr>
        <w:t xml:space="preserve">). Ponderile mici sugerează o </w:t>
      </w:r>
      <w:r w:rsidRPr="00C27014">
        <w:rPr>
          <w:rFonts w:ascii="Times New Roman" w:hAnsi="Times New Roman" w:cs="Times New Roman"/>
          <w:b/>
          <w:bCs/>
          <w:sz w:val="22"/>
          <w:szCs w:val="22"/>
        </w:rPr>
        <w:t>amprentă de transport</w:t>
      </w:r>
      <w:r w:rsidRPr="00C27014">
        <w:rPr>
          <w:rFonts w:ascii="Times New Roman" w:hAnsi="Times New Roman" w:cs="Times New Roman"/>
          <w:sz w:val="22"/>
          <w:szCs w:val="22"/>
        </w:rPr>
        <w:t xml:space="preserve"> relativ restrânsă a acestor activități în raport cu sectoarele dominante, pe fondul </w:t>
      </w:r>
      <w:r w:rsidRPr="00C27014">
        <w:rPr>
          <w:rFonts w:ascii="Times New Roman" w:hAnsi="Times New Roman" w:cs="Times New Roman"/>
          <w:b/>
          <w:bCs/>
          <w:sz w:val="22"/>
          <w:szCs w:val="22"/>
        </w:rPr>
        <w:t>scării de operare</w:t>
      </w:r>
      <w:r w:rsidRPr="00C27014">
        <w:rPr>
          <w:rFonts w:ascii="Times New Roman" w:hAnsi="Times New Roman" w:cs="Times New Roman"/>
          <w:sz w:val="22"/>
          <w:szCs w:val="22"/>
        </w:rPr>
        <w:t xml:space="preserve"> și al </w:t>
      </w:r>
      <w:r w:rsidRPr="00C27014">
        <w:rPr>
          <w:rFonts w:ascii="Times New Roman" w:hAnsi="Times New Roman" w:cs="Times New Roman"/>
          <w:b/>
          <w:bCs/>
          <w:sz w:val="22"/>
          <w:szCs w:val="22"/>
        </w:rPr>
        <w:t>cererii teritoriale</w:t>
      </w:r>
      <w:r w:rsidRPr="00C27014">
        <w:rPr>
          <w:rFonts w:ascii="Times New Roman" w:hAnsi="Times New Roman" w:cs="Times New Roman"/>
          <w:sz w:val="22"/>
          <w:szCs w:val="22"/>
        </w:rPr>
        <w:t xml:space="preserve"> specifice județului.</w:t>
      </w:r>
    </w:p>
    <w:p w14:paraId="31E88AC8" w14:textId="3A6B71B4" w:rsidR="00C27014" w:rsidRPr="002E0C1B" w:rsidRDefault="00C27014" w:rsidP="002E0C1B">
      <w:pPr>
        <w:pStyle w:val="Smn"/>
        <w:rPr>
          <w:rFonts w:ascii="Times New Roman" w:hAnsi="Times New Roman" w:cs="Times New Roman"/>
          <w:b/>
          <w:bCs/>
          <w:sz w:val="22"/>
          <w:szCs w:val="22"/>
        </w:rPr>
      </w:pPr>
      <w:r w:rsidRPr="002E0C1B">
        <w:rPr>
          <w:rFonts w:ascii="Times New Roman" w:hAnsi="Times New Roman" w:cs="Times New Roman"/>
          <w:b/>
          <w:bCs/>
          <w:sz w:val="22"/>
          <w:szCs w:val="22"/>
        </w:rPr>
        <w:lastRenderedPageBreak/>
        <w:t>5. Ce probleme considerați că afectează cel mai mult sistemul de transport din județul Tulcea?</w:t>
      </w:r>
    </w:p>
    <w:p w14:paraId="635175F7" w14:textId="56641E65" w:rsidR="00C27014" w:rsidRPr="002E0C1B" w:rsidRDefault="00A2787D" w:rsidP="002E0C1B">
      <w:pPr>
        <w:pStyle w:val="Smn"/>
        <w:rPr>
          <w:rFonts w:ascii="Times New Roman" w:hAnsi="Times New Roman" w:cs="Times New Roman"/>
          <w:sz w:val="22"/>
          <w:szCs w:val="22"/>
        </w:rPr>
      </w:pPr>
      <w:r w:rsidRPr="002E0C1B">
        <w:rPr>
          <w:rFonts w:ascii="Times New Roman" w:hAnsi="Times New Roman" w:cs="Times New Roman"/>
          <w:noProof/>
          <w:sz w:val="22"/>
          <w:szCs w:val="22"/>
          <w:lang w:eastAsia="ro-RO"/>
        </w:rPr>
        <w:drawing>
          <wp:inline distT="0" distB="0" distL="0" distR="0" wp14:anchorId="59EEFB68" wp14:editId="5402B4D7">
            <wp:extent cx="5238750" cy="3409950"/>
            <wp:effectExtent l="0" t="0" r="0" b="0"/>
            <wp:docPr id="1978900905"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D7F7A4-AB34-02C3-6E6E-3FA1C4822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E2D889" w14:textId="69DECB45" w:rsidR="00A2787D" w:rsidRPr="002E0C1B" w:rsidRDefault="00A2787D" w:rsidP="002E0C1B">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6</w:t>
      </w:r>
      <w:r w:rsidRPr="002E0C1B">
        <w:rPr>
          <w:rFonts w:ascii="Times New Roman" w:hAnsi="Times New Roman" w:cs="Times New Roman"/>
          <w:b/>
          <w:bCs/>
        </w:rPr>
        <w:fldChar w:fldCharType="end"/>
      </w:r>
      <w:r w:rsidRPr="002E0C1B">
        <w:rPr>
          <w:rFonts w:ascii="Times New Roman" w:hAnsi="Times New Roman" w:cs="Times New Roman"/>
          <w:b/>
          <w:bCs/>
        </w:rPr>
        <w:t>: Principalele probleme care afectează sistemul de transport din județul Tulcea (%)</w:t>
      </w:r>
    </w:p>
    <w:p w14:paraId="4199EBF7" w14:textId="77777777" w:rsidR="00A2787D" w:rsidRPr="002E0C1B" w:rsidRDefault="00A2787D" w:rsidP="002E0C1B">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0220191A" w14:textId="1772E4CF" w:rsidR="001105D0" w:rsidRPr="001105D0" w:rsidRDefault="001105D0" w:rsidP="002E0C1B">
      <w:pPr>
        <w:pStyle w:val="Smn"/>
        <w:rPr>
          <w:rFonts w:ascii="Times New Roman" w:hAnsi="Times New Roman" w:cs="Times New Roman"/>
          <w:sz w:val="22"/>
          <w:szCs w:val="22"/>
        </w:rPr>
      </w:pPr>
      <w:r w:rsidRPr="001105D0">
        <w:rPr>
          <w:rFonts w:ascii="Times New Roman" w:hAnsi="Times New Roman" w:cs="Times New Roman"/>
          <w:sz w:val="22"/>
          <w:szCs w:val="22"/>
        </w:rPr>
        <w:t xml:space="preserve">Distribuția răspunsurilor conturează un </w:t>
      </w:r>
      <w:r w:rsidRPr="001105D0">
        <w:rPr>
          <w:rFonts w:ascii="Times New Roman" w:hAnsi="Times New Roman" w:cs="Times New Roman"/>
          <w:b/>
          <w:bCs/>
          <w:sz w:val="22"/>
          <w:szCs w:val="22"/>
        </w:rPr>
        <w:t>set de constrângeri principale</w:t>
      </w:r>
      <w:r w:rsidRPr="001105D0">
        <w:rPr>
          <w:rFonts w:ascii="Times New Roman" w:hAnsi="Times New Roman" w:cs="Times New Roman"/>
          <w:sz w:val="22"/>
          <w:szCs w:val="22"/>
        </w:rPr>
        <w:t xml:space="preserve">, cu valori apropiate între </w:t>
      </w:r>
      <w:r w:rsidRPr="001105D0">
        <w:rPr>
          <w:rFonts w:ascii="Times New Roman" w:hAnsi="Times New Roman" w:cs="Times New Roman"/>
          <w:b/>
          <w:bCs/>
          <w:sz w:val="22"/>
          <w:szCs w:val="22"/>
        </w:rPr>
        <w:t>10–16%</w:t>
      </w:r>
      <w:r w:rsidRPr="001105D0">
        <w:rPr>
          <w:rFonts w:ascii="Times New Roman" w:hAnsi="Times New Roman" w:cs="Times New Roman"/>
          <w:sz w:val="22"/>
          <w:szCs w:val="22"/>
        </w:rPr>
        <w:t xml:space="preserve">, ceea ce indică o problemă </w:t>
      </w:r>
      <w:r w:rsidRPr="001105D0">
        <w:rPr>
          <w:rFonts w:ascii="Times New Roman" w:hAnsi="Times New Roman" w:cs="Times New Roman"/>
          <w:b/>
          <w:bCs/>
          <w:sz w:val="22"/>
          <w:szCs w:val="22"/>
        </w:rPr>
        <w:t>multidimensională</w:t>
      </w:r>
      <w:r w:rsidRPr="001105D0">
        <w:rPr>
          <w:rFonts w:ascii="Times New Roman" w:hAnsi="Times New Roman" w:cs="Times New Roman"/>
          <w:sz w:val="22"/>
          <w:szCs w:val="22"/>
        </w:rPr>
        <w:t xml:space="preserve"> a mobilității în județ. Pe primul loc se află </w:t>
      </w:r>
      <w:r w:rsidRPr="001105D0">
        <w:rPr>
          <w:rFonts w:ascii="Times New Roman" w:hAnsi="Times New Roman" w:cs="Times New Roman"/>
          <w:b/>
          <w:bCs/>
          <w:sz w:val="22"/>
          <w:szCs w:val="22"/>
        </w:rPr>
        <w:t>traficul aglomerat/congestia – 16,10%</w:t>
      </w:r>
      <w:r w:rsidRPr="001105D0">
        <w:rPr>
          <w:rFonts w:ascii="Times New Roman" w:hAnsi="Times New Roman" w:cs="Times New Roman"/>
          <w:sz w:val="22"/>
          <w:szCs w:val="22"/>
        </w:rPr>
        <w:t xml:space="preserve">, urmat de </w:t>
      </w:r>
      <w:r w:rsidRPr="001105D0">
        <w:rPr>
          <w:rFonts w:ascii="Times New Roman" w:hAnsi="Times New Roman" w:cs="Times New Roman"/>
          <w:b/>
          <w:bCs/>
          <w:sz w:val="22"/>
          <w:szCs w:val="22"/>
        </w:rPr>
        <w:t>lipsa conectivității între zone izolate și centre urbane – 12,71%</w:t>
      </w:r>
      <w:r w:rsidRPr="001105D0">
        <w:rPr>
          <w:rFonts w:ascii="Times New Roman" w:hAnsi="Times New Roman" w:cs="Times New Roman"/>
          <w:sz w:val="22"/>
          <w:szCs w:val="22"/>
        </w:rPr>
        <w:t xml:space="preserve">, </w:t>
      </w:r>
      <w:r w:rsidRPr="001105D0">
        <w:rPr>
          <w:rFonts w:ascii="Times New Roman" w:hAnsi="Times New Roman" w:cs="Times New Roman"/>
          <w:b/>
          <w:bCs/>
          <w:sz w:val="22"/>
          <w:szCs w:val="22"/>
        </w:rPr>
        <w:t>infrastructura rutieră degradată – 11,86%</w:t>
      </w:r>
      <w:r w:rsidRPr="001105D0">
        <w:rPr>
          <w:rFonts w:ascii="Times New Roman" w:hAnsi="Times New Roman" w:cs="Times New Roman"/>
          <w:sz w:val="22"/>
          <w:szCs w:val="22"/>
        </w:rPr>
        <w:t xml:space="preserve">, </w:t>
      </w:r>
      <w:r w:rsidRPr="001105D0">
        <w:rPr>
          <w:rFonts w:ascii="Times New Roman" w:hAnsi="Times New Roman" w:cs="Times New Roman"/>
          <w:b/>
          <w:bCs/>
          <w:sz w:val="22"/>
          <w:szCs w:val="22"/>
        </w:rPr>
        <w:t>lipsa investițiilor în transport verde/sustenabil – 11,86%</w:t>
      </w:r>
      <w:r w:rsidRPr="001105D0">
        <w:rPr>
          <w:rFonts w:ascii="Times New Roman" w:hAnsi="Times New Roman" w:cs="Times New Roman"/>
          <w:sz w:val="22"/>
          <w:szCs w:val="22"/>
        </w:rPr>
        <w:t xml:space="preserve">, </w:t>
      </w:r>
      <w:r w:rsidRPr="001105D0">
        <w:rPr>
          <w:rFonts w:ascii="Times New Roman" w:hAnsi="Times New Roman" w:cs="Times New Roman"/>
          <w:b/>
          <w:bCs/>
          <w:sz w:val="22"/>
          <w:szCs w:val="22"/>
        </w:rPr>
        <w:t>deficitul de intermodalitate (rutier + naval + feroviar + aerian) – 11,02%</w:t>
      </w:r>
      <w:r w:rsidRPr="001105D0">
        <w:rPr>
          <w:rFonts w:ascii="Times New Roman" w:hAnsi="Times New Roman" w:cs="Times New Roman"/>
          <w:sz w:val="22"/>
          <w:szCs w:val="22"/>
        </w:rPr>
        <w:t xml:space="preserve"> și </w:t>
      </w:r>
      <w:r w:rsidRPr="001105D0">
        <w:rPr>
          <w:rFonts w:ascii="Times New Roman" w:hAnsi="Times New Roman" w:cs="Times New Roman"/>
          <w:b/>
          <w:bCs/>
          <w:sz w:val="22"/>
          <w:szCs w:val="22"/>
        </w:rPr>
        <w:t>timpul mare de călătorie/tranzit – 10,17%</w:t>
      </w:r>
      <w:r w:rsidRPr="001105D0">
        <w:rPr>
          <w:rFonts w:ascii="Times New Roman" w:hAnsi="Times New Roman" w:cs="Times New Roman"/>
          <w:sz w:val="22"/>
          <w:szCs w:val="22"/>
        </w:rPr>
        <w:t xml:space="preserve">. Împreună, aceste valori descriu simultan </w:t>
      </w:r>
      <w:r w:rsidRPr="001105D0">
        <w:rPr>
          <w:rFonts w:ascii="Times New Roman" w:hAnsi="Times New Roman" w:cs="Times New Roman"/>
          <w:b/>
          <w:bCs/>
          <w:sz w:val="22"/>
          <w:szCs w:val="22"/>
        </w:rPr>
        <w:t xml:space="preserve">probleme de capacitate și </w:t>
      </w:r>
      <w:r w:rsidRPr="002E0C1B">
        <w:rPr>
          <w:rFonts w:ascii="Times New Roman" w:hAnsi="Times New Roman" w:cs="Times New Roman"/>
          <w:b/>
          <w:bCs/>
          <w:sz w:val="22"/>
          <w:szCs w:val="22"/>
        </w:rPr>
        <w:t xml:space="preserve">de mobilitate </w:t>
      </w:r>
      <w:r w:rsidRPr="001105D0">
        <w:rPr>
          <w:rFonts w:ascii="Times New Roman" w:hAnsi="Times New Roman" w:cs="Times New Roman"/>
          <w:b/>
          <w:bCs/>
          <w:sz w:val="22"/>
          <w:szCs w:val="22"/>
        </w:rPr>
        <w:t>(congestie, timpi)</w:t>
      </w:r>
      <w:r w:rsidRPr="001105D0">
        <w:rPr>
          <w:rFonts w:ascii="Times New Roman" w:hAnsi="Times New Roman" w:cs="Times New Roman"/>
          <w:sz w:val="22"/>
          <w:szCs w:val="22"/>
        </w:rPr>
        <w:t xml:space="preserve">, </w:t>
      </w:r>
      <w:r w:rsidRPr="001105D0">
        <w:rPr>
          <w:rFonts w:ascii="Times New Roman" w:hAnsi="Times New Roman" w:cs="Times New Roman"/>
          <w:b/>
          <w:bCs/>
          <w:sz w:val="22"/>
          <w:szCs w:val="22"/>
        </w:rPr>
        <w:t>calitate/întreținere a infrastructurii</w:t>
      </w:r>
      <w:r w:rsidRPr="001105D0">
        <w:rPr>
          <w:rFonts w:ascii="Times New Roman" w:hAnsi="Times New Roman" w:cs="Times New Roman"/>
          <w:sz w:val="22"/>
          <w:szCs w:val="22"/>
        </w:rPr>
        <w:t xml:space="preserve"> și </w:t>
      </w:r>
      <w:r w:rsidRPr="001105D0">
        <w:rPr>
          <w:rFonts w:ascii="Times New Roman" w:hAnsi="Times New Roman" w:cs="Times New Roman"/>
          <w:b/>
          <w:bCs/>
          <w:sz w:val="22"/>
          <w:szCs w:val="22"/>
        </w:rPr>
        <w:t>integrare modală insuficientă</w:t>
      </w:r>
      <w:r w:rsidRPr="001105D0">
        <w:rPr>
          <w:rFonts w:ascii="Times New Roman" w:hAnsi="Times New Roman" w:cs="Times New Roman"/>
          <w:sz w:val="22"/>
          <w:szCs w:val="22"/>
        </w:rPr>
        <w:t>.</w:t>
      </w:r>
    </w:p>
    <w:p w14:paraId="246FACB9" w14:textId="136AA50A" w:rsidR="001105D0" w:rsidRPr="001105D0" w:rsidRDefault="001105D0" w:rsidP="002E0C1B">
      <w:pPr>
        <w:pStyle w:val="Smn"/>
        <w:rPr>
          <w:rFonts w:ascii="Times New Roman" w:hAnsi="Times New Roman" w:cs="Times New Roman"/>
          <w:sz w:val="22"/>
          <w:szCs w:val="22"/>
        </w:rPr>
      </w:pPr>
      <w:r w:rsidRPr="001105D0">
        <w:rPr>
          <w:rFonts w:ascii="Times New Roman" w:hAnsi="Times New Roman" w:cs="Times New Roman"/>
          <w:sz w:val="22"/>
          <w:szCs w:val="22"/>
        </w:rPr>
        <w:t>Specificul teritorial al județului Tulcea</w:t>
      </w:r>
      <w:r w:rsidRPr="002E0C1B">
        <w:rPr>
          <w:rFonts w:ascii="Times New Roman" w:hAnsi="Times New Roman" w:cs="Times New Roman"/>
          <w:sz w:val="22"/>
          <w:szCs w:val="22"/>
        </w:rPr>
        <w:t xml:space="preserve"> (</w:t>
      </w:r>
      <w:r w:rsidRPr="001105D0">
        <w:rPr>
          <w:rFonts w:ascii="Times New Roman" w:hAnsi="Times New Roman" w:cs="Times New Roman"/>
          <w:b/>
          <w:bCs/>
          <w:sz w:val="22"/>
          <w:szCs w:val="22"/>
        </w:rPr>
        <w:t>geografie deltaică, localități dispersate și așezări cu acces predominant pe apă</w:t>
      </w:r>
      <w:r w:rsidRPr="002E0C1B">
        <w:rPr>
          <w:rFonts w:ascii="Times New Roman" w:hAnsi="Times New Roman" w:cs="Times New Roman"/>
          <w:sz w:val="22"/>
          <w:szCs w:val="22"/>
        </w:rPr>
        <w:t>)</w:t>
      </w:r>
      <w:r w:rsidRPr="001105D0">
        <w:rPr>
          <w:rFonts w:ascii="Times New Roman" w:hAnsi="Times New Roman" w:cs="Times New Roman"/>
          <w:sz w:val="22"/>
          <w:szCs w:val="22"/>
        </w:rPr>
        <w:t xml:space="preserve"> se corelează cu ponderea ridicată acordată </w:t>
      </w:r>
      <w:r w:rsidRPr="001105D0">
        <w:rPr>
          <w:rFonts w:ascii="Times New Roman" w:hAnsi="Times New Roman" w:cs="Times New Roman"/>
          <w:b/>
          <w:bCs/>
          <w:sz w:val="22"/>
          <w:szCs w:val="22"/>
        </w:rPr>
        <w:t>conectivității</w:t>
      </w:r>
      <w:r w:rsidRPr="001105D0">
        <w:rPr>
          <w:rFonts w:ascii="Times New Roman" w:hAnsi="Times New Roman" w:cs="Times New Roman"/>
          <w:sz w:val="22"/>
          <w:szCs w:val="22"/>
        </w:rPr>
        <w:t xml:space="preserve"> și </w:t>
      </w:r>
      <w:r w:rsidRPr="001105D0">
        <w:rPr>
          <w:rFonts w:ascii="Times New Roman" w:hAnsi="Times New Roman" w:cs="Times New Roman"/>
          <w:b/>
          <w:bCs/>
          <w:sz w:val="22"/>
          <w:szCs w:val="22"/>
        </w:rPr>
        <w:t>intermodalității</w:t>
      </w:r>
      <w:r w:rsidRPr="001105D0">
        <w:rPr>
          <w:rFonts w:ascii="Times New Roman" w:hAnsi="Times New Roman" w:cs="Times New Roman"/>
          <w:sz w:val="22"/>
          <w:szCs w:val="22"/>
        </w:rPr>
        <w:t xml:space="preserve">. Legătura dintre </w:t>
      </w:r>
      <w:r w:rsidRPr="001105D0">
        <w:rPr>
          <w:rFonts w:ascii="Times New Roman" w:hAnsi="Times New Roman" w:cs="Times New Roman"/>
          <w:b/>
          <w:bCs/>
          <w:sz w:val="22"/>
          <w:szCs w:val="22"/>
        </w:rPr>
        <w:t>municipiul Tulcea</w:t>
      </w:r>
      <w:r w:rsidRPr="001105D0">
        <w:rPr>
          <w:rFonts w:ascii="Times New Roman" w:hAnsi="Times New Roman" w:cs="Times New Roman"/>
          <w:sz w:val="22"/>
          <w:szCs w:val="22"/>
        </w:rPr>
        <w:t xml:space="preserve">, satele din </w:t>
      </w:r>
      <w:r w:rsidRPr="001105D0">
        <w:rPr>
          <w:rFonts w:ascii="Times New Roman" w:hAnsi="Times New Roman" w:cs="Times New Roman"/>
          <w:b/>
          <w:bCs/>
          <w:sz w:val="22"/>
          <w:szCs w:val="22"/>
        </w:rPr>
        <w:t>Delta Dunării</w:t>
      </w:r>
      <w:r w:rsidRPr="001105D0">
        <w:rPr>
          <w:rFonts w:ascii="Times New Roman" w:hAnsi="Times New Roman" w:cs="Times New Roman"/>
          <w:sz w:val="22"/>
          <w:szCs w:val="22"/>
        </w:rPr>
        <w:t xml:space="preserve"> și zonele nord/sud ale județului presupune trasee lungi și </w:t>
      </w:r>
      <w:r w:rsidRPr="001105D0">
        <w:rPr>
          <w:rFonts w:ascii="Times New Roman" w:hAnsi="Times New Roman" w:cs="Times New Roman"/>
          <w:b/>
          <w:bCs/>
          <w:sz w:val="22"/>
          <w:szCs w:val="22"/>
        </w:rPr>
        <w:t>traversări fluviale</w:t>
      </w:r>
      <w:r w:rsidRPr="001105D0">
        <w:rPr>
          <w:rFonts w:ascii="Times New Roman" w:hAnsi="Times New Roman" w:cs="Times New Roman"/>
          <w:sz w:val="22"/>
          <w:szCs w:val="22"/>
        </w:rPr>
        <w:t xml:space="preserve">, ceea ce explică percepția asupra </w:t>
      </w:r>
      <w:r w:rsidRPr="001105D0">
        <w:rPr>
          <w:rFonts w:ascii="Times New Roman" w:hAnsi="Times New Roman" w:cs="Times New Roman"/>
          <w:b/>
          <w:bCs/>
          <w:sz w:val="22"/>
          <w:szCs w:val="22"/>
        </w:rPr>
        <w:t>timpilor mari de călătorie</w:t>
      </w:r>
      <w:r w:rsidRPr="001105D0">
        <w:rPr>
          <w:rFonts w:ascii="Times New Roman" w:hAnsi="Times New Roman" w:cs="Times New Roman"/>
          <w:sz w:val="22"/>
          <w:szCs w:val="22"/>
        </w:rPr>
        <w:t xml:space="preserve"> și a </w:t>
      </w:r>
      <w:r w:rsidRPr="001105D0">
        <w:rPr>
          <w:rFonts w:ascii="Times New Roman" w:hAnsi="Times New Roman" w:cs="Times New Roman"/>
          <w:b/>
          <w:bCs/>
          <w:sz w:val="22"/>
          <w:szCs w:val="22"/>
        </w:rPr>
        <w:t>necesității de integrare între rutier și naval</w:t>
      </w:r>
      <w:r w:rsidRPr="001105D0">
        <w:rPr>
          <w:rFonts w:ascii="Times New Roman" w:hAnsi="Times New Roman" w:cs="Times New Roman"/>
          <w:sz w:val="22"/>
          <w:szCs w:val="22"/>
        </w:rPr>
        <w:t xml:space="preserve">. Totodată, </w:t>
      </w:r>
      <w:r w:rsidRPr="001105D0">
        <w:rPr>
          <w:rFonts w:ascii="Times New Roman" w:hAnsi="Times New Roman" w:cs="Times New Roman"/>
          <w:b/>
          <w:bCs/>
          <w:sz w:val="22"/>
          <w:szCs w:val="22"/>
        </w:rPr>
        <w:t>infrastructura rutieră</w:t>
      </w:r>
      <w:r w:rsidRPr="001105D0">
        <w:rPr>
          <w:rFonts w:ascii="Times New Roman" w:hAnsi="Times New Roman" w:cs="Times New Roman"/>
          <w:sz w:val="22"/>
          <w:szCs w:val="22"/>
        </w:rPr>
        <w:t xml:space="preserve"> rămâne s</w:t>
      </w:r>
      <w:r w:rsidR="006C1B21" w:rsidRPr="002E0C1B">
        <w:rPr>
          <w:rFonts w:ascii="Times New Roman" w:hAnsi="Times New Roman" w:cs="Times New Roman"/>
          <w:sz w:val="22"/>
          <w:szCs w:val="22"/>
        </w:rPr>
        <w:t>prijinul</w:t>
      </w:r>
      <w:r w:rsidRPr="001105D0">
        <w:rPr>
          <w:rFonts w:ascii="Times New Roman" w:hAnsi="Times New Roman" w:cs="Times New Roman"/>
          <w:sz w:val="22"/>
          <w:szCs w:val="22"/>
        </w:rPr>
        <w:t xml:space="preserve"> principal al aprovizionării și al accesului la servicii, de unde și accentul pe </w:t>
      </w:r>
      <w:r w:rsidRPr="001105D0">
        <w:rPr>
          <w:rFonts w:ascii="Times New Roman" w:hAnsi="Times New Roman" w:cs="Times New Roman"/>
          <w:b/>
          <w:bCs/>
          <w:sz w:val="22"/>
          <w:szCs w:val="22"/>
        </w:rPr>
        <w:t>starea tehnică a drumurilor</w:t>
      </w:r>
      <w:r w:rsidRPr="001105D0">
        <w:rPr>
          <w:rFonts w:ascii="Times New Roman" w:hAnsi="Times New Roman" w:cs="Times New Roman"/>
          <w:sz w:val="22"/>
          <w:szCs w:val="22"/>
        </w:rPr>
        <w:t>.</w:t>
      </w:r>
    </w:p>
    <w:p w14:paraId="6B420A7A" w14:textId="23022603" w:rsidR="001105D0" w:rsidRPr="001105D0" w:rsidRDefault="001105D0" w:rsidP="002E0C1B">
      <w:pPr>
        <w:pStyle w:val="Smn"/>
        <w:rPr>
          <w:rFonts w:ascii="Times New Roman" w:hAnsi="Times New Roman" w:cs="Times New Roman"/>
          <w:sz w:val="22"/>
          <w:szCs w:val="22"/>
        </w:rPr>
      </w:pPr>
      <w:r w:rsidRPr="001105D0">
        <w:rPr>
          <w:rFonts w:ascii="Times New Roman" w:hAnsi="Times New Roman" w:cs="Times New Roman"/>
          <w:sz w:val="22"/>
          <w:szCs w:val="22"/>
        </w:rPr>
        <w:t xml:space="preserve">În plan secund, respondenții indică </w:t>
      </w:r>
      <w:r w:rsidRPr="001105D0">
        <w:rPr>
          <w:rFonts w:ascii="Times New Roman" w:hAnsi="Times New Roman" w:cs="Times New Roman"/>
          <w:b/>
          <w:bCs/>
          <w:sz w:val="22"/>
          <w:szCs w:val="22"/>
        </w:rPr>
        <w:t>acces redus la rețeaua de transport public – 8,47%</w:t>
      </w:r>
      <w:r w:rsidRPr="001105D0">
        <w:rPr>
          <w:rFonts w:ascii="Times New Roman" w:hAnsi="Times New Roman" w:cs="Times New Roman"/>
          <w:sz w:val="22"/>
          <w:szCs w:val="22"/>
        </w:rPr>
        <w:t xml:space="preserve"> și </w:t>
      </w:r>
      <w:r w:rsidRPr="001105D0">
        <w:rPr>
          <w:rFonts w:ascii="Times New Roman" w:hAnsi="Times New Roman" w:cs="Times New Roman"/>
          <w:b/>
          <w:bCs/>
          <w:sz w:val="22"/>
          <w:szCs w:val="22"/>
        </w:rPr>
        <w:t>siguranța rutieră/numărul de accidente – 6,78%</w:t>
      </w:r>
      <w:r w:rsidRPr="001105D0">
        <w:rPr>
          <w:rFonts w:ascii="Times New Roman" w:hAnsi="Times New Roman" w:cs="Times New Roman"/>
          <w:sz w:val="22"/>
          <w:szCs w:val="22"/>
        </w:rPr>
        <w:t xml:space="preserve">, urmate de dimensiunile „soft” ale guvernanței: </w:t>
      </w:r>
      <w:r w:rsidRPr="001105D0">
        <w:rPr>
          <w:rFonts w:ascii="Times New Roman" w:hAnsi="Times New Roman" w:cs="Times New Roman"/>
          <w:b/>
          <w:bCs/>
          <w:sz w:val="22"/>
          <w:szCs w:val="22"/>
        </w:rPr>
        <w:t>lipsa datelor și a instrumentelor analitice – 4,24%</w:t>
      </w:r>
      <w:r w:rsidRPr="001105D0">
        <w:rPr>
          <w:rFonts w:ascii="Times New Roman" w:hAnsi="Times New Roman" w:cs="Times New Roman"/>
          <w:sz w:val="22"/>
          <w:szCs w:val="22"/>
        </w:rPr>
        <w:t xml:space="preserve">, </w:t>
      </w:r>
      <w:r w:rsidRPr="001105D0">
        <w:rPr>
          <w:rFonts w:ascii="Times New Roman" w:hAnsi="Times New Roman" w:cs="Times New Roman"/>
          <w:b/>
          <w:bCs/>
          <w:sz w:val="22"/>
          <w:szCs w:val="22"/>
        </w:rPr>
        <w:t>deficiențe în colaborarea interinstituțională – 3,39%</w:t>
      </w:r>
      <w:r w:rsidRPr="001105D0">
        <w:rPr>
          <w:rFonts w:ascii="Times New Roman" w:hAnsi="Times New Roman" w:cs="Times New Roman"/>
          <w:sz w:val="22"/>
          <w:szCs w:val="22"/>
        </w:rPr>
        <w:t xml:space="preserve"> și </w:t>
      </w:r>
      <w:r w:rsidRPr="001105D0">
        <w:rPr>
          <w:rFonts w:ascii="Times New Roman" w:hAnsi="Times New Roman" w:cs="Times New Roman"/>
          <w:b/>
          <w:bCs/>
          <w:sz w:val="22"/>
          <w:szCs w:val="22"/>
        </w:rPr>
        <w:t>incoerență în planificarea teritorială – 2,54%</w:t>
      </w:r>
      <w:r w:rsidRPr="001105D0">
        <w:rPr>
          <w:rFonts w:ascii="Times New Roman" w:hAnsi="Times New Roman" w:cs="Times New Roman"/>
          <w:sz w:val="22"/>
          <w:szCs w:val="22"/>
        </w:rPr>
        <w:t xml:space="preserve">. Categoria </w:t>
      </w:r>
      <w:r w:rsidRPr="001105D0">
        <w:rPr>
          <w:rFonts w:ascii="Times New Roman" w:hAnsi="Times New Roman" w:cs="Times New Roman"/>
          <w:b/>
          <w:bCs/>
          <w:sz w:val="22"/>
          <w:szCs w:val="22"/>
        </w:rPr>
        <w:t>„Altele</w:t>
      </w:r>
      <w:r w:rsidR="006C1B21" w:rsidRPr="002E0C1B">
        <w:rPr>
          <w:rFonts w:ascii="Times New Roman" w:hAnsi="Times New Roman" w:cs="Times New Roman"/>
          <w:b/>
          <w:bCs/>
          <w:sz w:val="22"/>
          <w:szCs w:val="22"/>
        </w:rPr>
        <w:t>”</w:t>
      </w:r>
      <w:r w:rsidRPr="001105D0">
        <w:rPr>
          <w:rFonts w:ascii="Times New Roman" w:hAnsi="Times New Roman" w:cs="Times New Roman"/>
          <w:b/>
          <w:bCs/>
          <w:sz w:val="22"/>
          <w:szCs w:val="22"/>
        </w:rPr>
        <w:t xml:space="preserve"> – 0,85%</w:t>
      </w:r>
      <w:r w:rsidRPr="001105D0">
        <w:rPr>
          <w:rFonts w:ascii="Times New Roman" w:hAnsi="Times New Roman" w:cs="Times New Roman"/>
          <w:sz w:val="22"/>
          <w:szCs w:val="22"/>
        </w:rPr>
        <w:t xml:space="preserve"> include mențiuni punctuale precum </w:t>
      </w:r>
      <w:r w:rsidRPr="001105D0">
        <w:rPr>
          <w:rFonts w:ascii="Times New Roman" w:hAnsi="Times New Roman" w:cs="Times New Roman"/>
          <w:b/>
          <w:bCs/>
          <w:sz w:val="22"/>
          <w:szCs w:val="22"/>
        </w:rPr>
        <w:t>„cale ferată neelectrificată”</w:t>
      </w:r>
      <w:r w:rsidRPr="001105D0">
        <w:rPr>
          <w:rFonts w:ascii="Times New Roman" w:hAnsi="Times New Roman" w:cs="Times New Roman"/>
          <w:sz w:val="22"/>
          <w:szCs w:val="22"/>
        </w:rPr>
        <w:t xml:space="preserve"> și </w:t>
      </w:r>
      <w:r w:rsidRPr="001105D0">
        <w:rPr>
          <w:rFonts w:ascii="Times New Roman" w:hAnsi="Times New Roman" w:cs="Times New Roman"/>
          <w:b/>
          <w:bCs/>
          <w:sz w:val="22"/>
          <w:szCs w:val="22"/>
        </w:rPr>
        <w:t>„aeroport nefuncțional”</w:t>
      </w:r>
      <w:r w:rsidRPr="001105D0">
        <w:rPr>
          <w:rFonts w:ascii="Times New Roman" w:hAnsi="Times New Roman" w:cs="Times New Roman"/>
          <w:sz w:val="22"/>
          <w:szCs w:val="22"/>
        </w:rPr>
        <w:t xml:space="preserve">, semnalând </w:t>
      </w:r>
      <w:r w:rsidRPr="001105D0">
        <w:rPr>
          <w:rFonts w:ascii="Times New Roman" w:hAnsi="Times New Roman" w:cs="Times New Roman"/>
          <w:b/>
          <w:bCs/>
          <w:sz w:val="22"/>
          <w:szCs w:val="22"/>
        </w:rPr>
        <w:t>vulnerabilități de infrastructură</w:t>
      </w:r>
      <w:r w:rsidRPr="001105D0">
        <w:rPr>
          <w:rFonts w:ascii="Times New Roman" w:hAnsi="Times New Roman" w:cs="Times New Roman"/>
          <w:sz w:val="22"/>
          <w:szCs w:val="22"/>
        </w:rPr>
        <w:t xml:space="preserve"> cu impact asupra conectivității externe a județului.</w:t>
      </w:r>
    </w:p>
    <w:p w14:paraId="71DD14CF" w14:textId="77777777" w:rsidR="00C764AE" w:rsidRPr="002E0C1B" w:rsidRDefault="00C764AE" w:rsidP="002E0C1B">
      <w:pPr>
        <w:pStyle w:val="Smn"/>
        <w:rPr>
          <w:rFonts w:ascii="Times New Roman" w:hAnsi="Times New Roman" w:cs="Times New Roman"/>
          <w:b/>
          <w:bCs/>
          <w:sz w:val="22"/>
          <w:szCs w:val="22"/>
        </w:rPr>
      </w:pPr>
      <w:r w:rsidRPr="002E0C1B">
        <w:rPr>
          <w:rFonts w:ascii="Times New Roman" w:hAnsi="Times New Roman" w:cs="Times New Roman"/>
          <w:b/>
          <w:bCs/>
          <w:sz w:val="22"/>
          <w:szCs w:val="22"/>
        </w:rPr>
        <w:lastRenderedPageBreak/>
        <w:t>6. În ce măsură considerați importante următoarele direcții de investiții în transport? (de la 1 la 5, unde 1 = deloc important, 5 = foarte important)</w:t>
      </w:r>
    </w:p>
    <w:p w14:paraId="2DF257A0" w14:textId="6C32BF2D" w:rsidR="00C764AE" w:rsidRPr="002E0C1B" w:rsidRDefault="00C764AE" w:rsidP="002E0C1B">
      <w:pPr>
        <w:pStyle w:val="Smn"/>
        <w:rPr>
          <w:rFonts w:ascii="Times New Roman" w:hAnsi="Times New Roman" w:cs="Times New Roman"/>
          <w:b/>
          <w:bCs/>
          <w:sz w:val="22"/>
          <w:szCs w:val="22"/>
        </w:rPr>
      </w:pPr>
      <w:r w:rsidRPr="002E0C1B">
        <w:rPr>
          <w:rFonts w:ascii="Times New Roman" w:hAnsi="Times New Roman" w:cs="Times New Roman"/>
          <w:noProof/>
          <w:sz w:val="22"/>
          <w:szCs w:val="22"/>
          <w:lang w:eastAsia="ro-RO"/>
        </w:rPr>
        <w:drawing>
          <wp:inline distT="0" distB="0" distL="0" distR="0" wp14:anchorId="056E73C9" wp14:editId="45AC5344">
            <wp:extent cx="6010275" cy="3352800"/>
            <wp:effectExtent l="0" t="0" r="0" b="0"/>
            <wp:docPr id="83190417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DCBB93-C0B0-7235-0639-5F3A3B72C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61F8C0" w14:textId="77209FEC" w:rsidR="00C764AE" w:rsidRPr="002E0C1B" w:rsidRDefault="00C764AE" w:rsidP="002E0C1B">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7</w:t>
      </w:r>
      <w:r w:rsidRPr="002E0C1B">
        <w:rPr>
          <w:rFonts w:ascii="Times New Roman" w:hAnsi="Times New Roman" w:cs="Times New Roman"/>
          <w:b/>
          <w:bCs/>
        </w:rPr>
        <w:fldChar w:fldCharType="end"/>
      </w:r>
      <w:r w:rsidRPr="002E0C1B">
        <w:rPr>
          <w:rFonts w:ascii="Times New Roman" w:hAnsi="Times New Roman" w:cs="Times New Roman"/>
          <w:b/>
          <w:bCs/>
        </w:rPr>
        <w:t>: Principalele direcții de investiții în transport din județul Tulcea</w:t>
      </w:r>
    </w:p>
    <w:p w14:paraId="2A90B50B" w14:textId="77777777" w:rsidR="00C764AE" w:rsidRPr="002E0C1B" w:rsidRDefault="00C764AE" w:rsidP="002E0C1B">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4B7962B4" w14:textId="78D170D6" w:rsidR="007D3D4F" w:rsidRPr="007D3D4F" w:rsidRDefault="007D3D4F" w:rsidP="002E0C1B">
      <w:pPr>
        <w:pStyle w:val="Smn"/>
        <w:rPr>
          <w:rFonts w:ascii="Times New Roman" w:hAnsi="Times New Roman" w:cs="Times New Roman"/>
          <w:sz w:val="22"/>
          <w:szCs w:val="22"/>
        </w:rPr>
      </w:pPr>
      <w:r w:rsidRPr="007D3D4F">
        <w:rPr>
          <w:rFonts w:ascii="Times New Roman" w:hAnsi="Times New Roman" w:cs="Times New Roman"/>
          <w:sz w:val="22"/>
          <w:szCs w:val="22"/>
        </w:rPr>
        <w:t>Valorile medii se concentrează în interval</w:t>
      </w:r>
      <w:r w:rsidR="00E1722C" w:rsidRPr="002E0C1B">
        <w:rPr>
          <w:rFonts w:ascii="Times New Roman" w:hAnsi="Times New Roman" w:cs="Times New Roman"/>
          <w:sz w:val="22"/>
          <w:szCs w:val="22"/>
        </w:rPr>
        <w:t>ul</w:t>
      </w:r>
      <w:r w:rsidRPr="007D3D4F">
        <w:rPr>
          <w:rFonts w:ascii="Times New Roman" w:hAnsi="Times New Roman" w:cs="Times New Roman"/>
          <w:sz w:val="22"/>
          <w:szCs w:val="22"/>
        </w:rPr>
        <w:t xml:space="preserve"> </w:t>
      </w:r>
      <w:r w:rsidRPr="007D3D4F">
        <w:rPr>
          <w:rFonts w:ascii="Times New Roman" w:hAnsi="Times New Roman" w:cs="Times New Roman"/>
          <w:b/>
          <w:bCs/>
          <w:sz w:val="22"/>
          <w:szCs w:val="22"/>
        </w:rPr>
        <w:t>4,07–4,57</w:t>
      </w:r>
      <w:r w:rsidRPr="007D3D4F">
        <w:rPr>
          <w:rFonts w:ascii="Times New Roman" w:hAnsi="Times New Roman" w:cs="Times New Roman"/>
          <w:sz w:val="22"/>
          <w:szCs w:val="22"/>
        </w:rPr>
        <w:t>, ceea ce indică</w:t>
      </w:r>
      <w:r w:rsidR="00E1722C" w:rsidRPr="002E0C1B">
        <w:rPr>
          <w:rFonts w:ascii="Times New Roman" w:hAnsi="Times New Roman" w:cs="Times New Roman"/>
          <w:sz w:val="22"/>
          <w:szCs w:val="22"/>
        </w:rPr>
        <w:t xml:space="preserve"> faptul că respondenții acordă</w:t>
      </w:r>
      <w:r w:rsidRPr="007D3D4F">
        <w:rPr>
          <w:rFonts w:ascii="Times New Roman" w:hAnsi="Times New Roman" w:cs="Times New Roman"/>
          <w:sz w:val="22"/>
          <w:szCs w:val="22"/>
        </w:rPr>
        <w:t xml:space="preserve"> </w:t>
      </w:r>
      <w:r w:rsidRPr="007D3D4F">
        <w:rPr>
          <w:rFonts w:ascii="Times New Roman" w:hAnsi="Times New Roman" w:cs="Times New Roman"/>
          <w:b/>
          <w:bCs/>
          <w:sz w:val="22"/>
          <w:szCs w:val="22"/>
        </w:rPr>
        <w:t xml:space="preserve">o importanță ridicată </w:t>
      </w:r>
      <w:r w:rsidR="00954C22" w:rsidRPr="002E0C1B">
        <w:rPr>
          <w:rFonts w:ascii="Times New Roman" w:hAnsi="Times New Roman" w:cs="Times New Roman"/>
          <w:b/>
          <w:bCs/>
          <w:sz w:val="22"/>
          <w:szCs w:val="22"/>
        </w:rPr>
        <w:t>pentru toate direcțiile analizate, fără diferențe nete între opțiuni.</w:t>
      </w:r>
    </w:p>
    <w:p w14:paraId="0ACC5ED9" w14:textId="366B1101" w:rsidR="007D3D4F" w:rsidRPr="007D3D4F" w:rsidRDefault="007D3D4F" w:rsidP="002E0C1B">
      <w:pPr>
        <w:pStyle w:val="Smn"/>
        <w:rPr>
          <w:rFonts w:ascii="Times New Roman" w:hAnsi="Times New Roman" w:cs="Times New Roman"/>
          <w:sz w:val="22"/>
          <w:szCs w:val="22"/>
        </w:rPr>
      </w:pPr>
      <w:r w:rsidRPr="007D3D4F">
        <w:rPr>
          <w:rFonts w:ascii="Times New Roman" w:hAnsi="Times New Roman" w:cs="Times New Roman"/>
          <w:sz w:val="22"/>
          <w:szCs w:val="22"/>
        </w:rPr>
        <w:t xml:space="preserve">Cea mai </w:t>
      </w:r>
      <w:r w:rsidR="00954C22" w:rsidRPr="002E0C1B">
        <w:rPr>
          <w:rFonts w:ascii="Times New Roman" w:hAnsi="Times New Roman" w:cs="Times New Roman"/>
          <w:sz w:val="22"/>
          <w:szCs w:val="22"/>
        </w:rPr>
        <w:t>importantă direcție</w:t>
      </w:r>
      <w:r w:rsidRPr="007D3D4F">
        <w:rPr>
          <w:rFonts w:ascii="Times New Roman" w:hAnsi="Times New Roman" w:cs="Times New Roman"/>
          <w:sz w:val="22"/>
          <w:szCs w:val="22"/>
        </w:rPr>
        <w:t xml:space="preserve"> percepută este </w:t>
      </w:r>
      <w:r w:rsidRPr="007D3D4F">
        <w:rPr>
          <w:rFonts w:ascii="Times New Roman" w:hAnsi="Times New Roman" w:cs="Times New Roman"/>
          <w:b/>
          <w:bCs/>
          <w:sz w:val="22"/>
          <w:szCs w:val="22"/>
        </w:rPr>
        <w:t>reabilitarea drumurilor județene și comunale (4,57)</w:t>
      </w:r>
      <w:r w:rsidRPr="007D3D4F">
        <w:rPr>
          <w:rFonts w:ascii="Times New Roman" w:hAnsi="Times New Roman" w:cs="Times New Roman"/>
          <w:sz w:val="22"/>
          <w:szCs w:val="22"/>
        </w:rPr>
        <w:t xml:space="preserve">, în strânsă legătură cu problemele raportate privind </w:t>
      </w:r>
      <w:r w:rsidRPr="007D3D4F">
        <w:rPr>
          <w:rFonts w:ascii="Times New Roman" w:hAnsi="Times New Roman" w:cs="Times New Roman"/>
          <w:b/>
          <w:bCs/>
          <w:sz w:val="22"/>
          <w:szCs w:val="22"/>
        </w:rPr>
        <w:t>starea rețelei rutiere</w:t>
      </w:r>
      <w:r w:rsidRPr="007D3D4F">
        <w:rPr>
          <w:rFonts w:ascii="Times New Roman" w:hAnsi="Times New Roman" w:cs="Times New Roman"/>
          <w:sz w:val="22"/>
          <w:szCs w:val="22"/>
        </w:rPr>
        <w:t xml:space="preserve">, </w:t>
      </w:r>
      <w:r w:rsidRPr="007D3D4F">
        <w:rPr>
          <w:rFonts w:ascii="Times New Roman" w:hAnsi="Times New Roman" w:cs="Times New Roman"/>
          <w:b/>
          <w:bCs/>
          <w:sz w:val="22"/>
          <w:szCs w:val="22"/>
        </w:rPr>
        <w:t>timpul de călătorie</w:t>
      </w:r>
      <w:r w:rsidRPr="007D3D4F">
        <w:rPr>
          <w:rFonts w:ascii="Times New Roman" w:hAnsi="Times New Roman" w:cs="Times New Roman"/>
          <w:sz w:val="22"/>
          <w:szCs w:val="22"/>
        </w:rPr>
        <w:t xml:space="preserve"> și </w:t>
      </w:r>
      <w:r w:rsidRPr="007D3D4F">
        <w:rPr>
          <w:rFonts w:ascii="Times New Roman" w:hAnsi="Times New Roman" w:cs="Times New Roman"/>
          <w:b/>
          <w:bCs/>
          <w:sz w:val="22"/>
          <w:szCs w:val="22"/>
        </w:rPr>
        <w:t>accesul dintre așezările dispersate</w:t>
      </w:r>
      <w:r w:rsidRPr="007D3D4F">
        <w:rPr>
          <w:rFonts w:ascii="Times New Roman" w:hAnsi="Times New Roman" w:cs="Times New Roman"/>
          <w:sz w:val="22"/>
          <w:szCs w:val="22"/>
        </w:rPr>
        <w:t xml:space="preserve">. În același registru al conectivității teritoriale, apar la vârf </w:t>
      </w:r>
      <w:r w:rsidRPr="007D3D4F">
        <w:rPr>
          <w:rFonts w:ascii="Times New Roman" w:hAnsi="Times New Roman" w:cs="Times New Roman"/>
          <w:b/>
          <w:bCs/>
          <w:sz w:val="22"/>
          <w:szCs w:val="22"/>
        </w:rPr>
        <w:t>conectarea cu porturile dunărene și maritime – Sulina, Tulcea, Galați (4,52)</w:t>
      </w:r>
      <w:r w:rsidRPr="007D3D4F">
        <w:rPr>
          <w:rFonts w:ascii="Times New Roman" w:hAnsi="Times New Roman" w:cs="Times New Roman"/>
          <w:sz w:val="22"/>
          <w:szCs w:val="22"/>
        </w:rPr>
        <w:t xml:space="preserve"> și </w:t>
      </w:r>
      <w:r w:rsidRPr="007D3D4F">
        <w:rPr>
          <w:rFonts w:ascii="Times New Roman" w:hAnsi="Times New Roman" w:cs="Times New Roman"/>
          <w:b/>
          <w:bCs/>
          <w:sz w:val="22"/>
          <w:szCs w:val="22"/>
        </w:rPr>
        <w:t>creșterea accesului în Delta Dunării prin transport ecologic (4,45)</w:t>
      </w:r>
      <w:r w:rsidRPr="007D3D4F">
        <w:rPr>
          <w:rFonts w:ascii="Times New Roman" w:hAnsi="Times New Roman" w:cs="Times New Roman"/>
          <w:sz w:val="22"/>
          <w:szCs w:val="22"/>
        </w:rPr>
        <w:t xml:space="preserve">, aspecte care reflectă </w:t>
      </w:r>
      <w:r w:rsidRPr="007D3D4F">
        <w:rPr>
          <w:rFonts w:ascii="Times New Roman" w:hAnsi="Times New Roman" w:cs="Times New Roman"/>
          <w:b/>
          <w:bCs/>
          <w:sz w:val="22"/>
          <w:szCs w:val="22"/>
        </w:rPr>
        <w:t>profilul hidro-teritorial și turistic</w:t>
      </w:r>
      <w:r w:rsidRPr="007D3D4F">
        <w:rPr>
          <w:rFonts w:ascii="Times New Roman" w:hAnsi="Times New Roman" w:cs="Times New Roman"/>
          <w:sz w:val="22"/>
          <w:szCs w:val="22"/>
        </w:rPr>
        <w:t xml:space="preserve"> al județului.</w:t>
      </w:r>
    </w:p>
    <w:p w14:paraId="5D5F5AEF" w14:textId="6ADC147C" w:rsidR="007D3D4F" w:rsidRPr="007D3D4F" w:rsidRDefault="007D3D4F" w:rsidP="002E0C1B">
      <w:pPr>
        <w:pStyle w:val="Smn"/>
        <w:rPr>
          <w:rFonts w:ascii="Times New Roman" w:hAnsi="Times New Roman" w:cs="Times New Roman"/>
          <w:sz w:val="22"/>
          <w:szCs w:val="22"/>
        </w:rPr>
      </w:pPr>
      <w:r w:rsidRPr="007D3D4F">
        <w:rPr>
          <w:rFonts w:ascii="Times New Roman" w:hAnsi="Times New Roman" w:cs="Times New Roman"/>
          <w:sz w:val="22"/>
          <w:szCs w:val="22"/>
        </w:rPr>
        <w:t xml:space="preserve">Investițiile ce susțin </w:t>
      </w:r>
      <w:r w:rsidRPr="007D3D4F">
        <w:rPr>
          <w:rFonts w:ascii="Times New Roman" w:hAnsi="Times New Roman" w:cs="Times New Roman"/>
          <w:b/>
          <w:bCs/>
          <w:sz w:val="22"/>
          <w:szCs w:val="22"/>
        </w:rPr>
        <w:t>integrarea modurilor</w:t>
      </w:r>
      <w:r w:rsidRPr="007D3D4F">
        <w:rPr>
          <w:rFonts w:ascii="Times New Roman" w:hAnsi="Times New Roman" w:cs="Times New Roman"/>
          <w:sz w:val="22"/>
          <w:szCs w:val="22"/>
        </w:rPr>
        <w:t xml:space="preserve"> și funcționarea lanțurilor logistice </w:t>
      </w:r>
      <w:r w:rsidR="00954C22" w:rsidRPr="002E0C1B">
        <w:rPr>
          <w:rFonts w:ascii="Times New Roman" w:hAnsi="Times New Roman" w:cs="Times New Roman"/>
          <w:sz w:val="22"/>
          <w:szCs w:val="22"/>
        </w:rPr>
        <w:t>sunt</w:t>
      </w:r>
      <w:r w:rsidRPr="007D3D4F">
        <w:rPr>
          <w:rFonts w:ascii="Times New Roman" w:hAnsi="Times New Roman" w:cs="Times New Roman"/>
          <w:sz w:val="22"/>
          <w:szCs w:val="22"/>
        </w:rPr>
        <w:t xml:space="preserve"> comparabile: </w:t>
      </w:r>
      <w:r w:rsidRPr="007D3D4F">
        <w:rPr>
          <w:rFonts w:ascii="Times New Roman" w:hAnsi="Times New Roman" w:cs="Times New Roman"/>
          <w:b/>
          <w:bCs/>
          <w:sz w:val="22"/>
          <w:szCs w:val="22"/>
        </w:rPr>
        <w:t>crearea unui hub intermodal (4,43)</w:t>
      </w:r>
      <w:r w:rsidRPr="007D3D4F">
        <w:rPr>
          <w:rFonts w:ascii="Times New Roman" w:hAnsi="Times New Roman" w:cs="Times New Roman"/>
          <w:sz w:val="22"/>
          <w:szCs w:val="22"/>
        </w:rPr>
        <w:t xml:space="preserve">, </w:t>
      </w:r>
      <w:r w:rsidRPr="007D3D4F">
        <w:rPr>
          <w:rFonts w:ascii="Times New Roman" w:hAnsi="Times New Roman" w:cs="Times New Roman"/>
          <w:b/>
          <w:bCs/>
          <w:sz w:val="22"/>
          <w:szCs w:val="22"/>
        </w:rPr>
        <w:t>dezvoltarea infrastructurii pentru transportul de mărfuri și pasageri (4,42)</w:t>
      </w:r>
      <w:r w:rsidRPr="007D3D4F">
        <w:rPr>
          <w:rFonts w:ascii="Times New Roman" w:hAnsi="Times New Roman" w:cs="Times New Roman"/>
          <w:sz w:val="22"/>
          <w:szCs w:val="22"/>
        </w:rPr>
        <w:t xml:space="preserve">, alături de </w:t>
      </w:r>
      <w:r w:rsidRPr="007D3D4F">
        <w:rPr>
          <w:rFonts w:ascii="Times New Roman" w:hAnsi="Times New Roman" w:cs="Times New Roman"/>
          <w:b/>
          <w:bCs/>
          <w:sz w:val="22"/>
          <w:szCs w:val="22"/>
        </w:rPr>
        <w:t>modernizarea transportului public local, inclusiv digitalizare (4,42)</w:t>
      </w:r>
      <w:r w:rsidRPr="007D3D4F">
        <w:rPr>
          <w:rFonts w:ascii="Times New Roman" w:hAnsi="Times New Roman" w:cs="Times New Roman"/>
          <w:sz w:val="22"/>
          <w:szCs w:val="22"/>
        </w:rPr>
        <w:t xml:space="preserve">. În mod complementar, modernizările de </w:t>
      </w:r>
      <w:r w:rsidRPr="007D3D4F">
        <w:rPr>
          <w:rFonts w:ascii="Times New Roman" w:hAnsi="Times New Roman" w:cs="Times New Roman"/>
          <w:b/>
          <w:bCs/>
          <w:sz w:val="22"/>
          <w:szCs w:val="22"/>
        </w:rPr>
        <w:t>infrastructură feroviară (4,37)</w:t>
      </w:r>
      <w:r w:rsidRPr="007D3D4F">
        <w:rPr>
          <w:rFonts w:ascii="Times New Roman" w:hAnsi="Times New Roman" w:cs="Times New Roman"/>
          <w:sz w:val="22"/>
          <w:szCs w:val="22"/>
        </w:rPr>
        <w:t xml:space="preserve"> și </w:t>
      </w:r>
      <w:r w:rsidRPr="007D3D4F">
        <w:rPr>
          <w:rFonts w:ascii="Times New Roman" w:hAnsi="Times New Roman" w:cs="Times New Roman"/>
          <w:b/>
          <w:bCs/>
          <w:sz w:val="22"/>
          <w:szCs w:val="22"/>
        </w:rPr>
        <w:t>portuară (4,37)</w:t>
      </w:r>
      <w:r w:rsidRPr="007D3D4F">
        <w:rPr>
          <w:rFonts w:ascii="Times New Roman" w:hAnsi="Times New Roman" w:cs="Times New Roman"/>
          <w:sz w:val="22"/>
          <w:szCs w:val="22"/>
        </w:rPr>
        <w:t xml:space="preserve"> sunt evaluate </w:t>
      </w:r>
      <w:r w:rsidR="00E32FAC" w:rsidRPr="002E0C1B">
        <w:rPr>
          <w:rFonts w:ascii="Times New Roman" w:hAnsi="Times New Roman" w:cs="Times New Roman"/>
          <w:sz w:val="22"/>
          <w:szCs w:val="22"/>
        </w:rPr>
        <w:t>similar</w:t>
      </w:r>
      <w:r w:rsidRPr="007D3D4F">
        <w:rPr>
          <w:rFonts w:ascii="Times New Roman" w:hAnsi="Times New Roman" w:cs="Times New Roman"/>
          <w:sz w:val="22"/>
          <w:szCs w:val="22"/>
        </w:rPr>
        <w:t xml:space="preserve">, în linie cu necesitatea îmbunătățirii </w:t>
      </w:r>
      <w:r w:rsidRPr="007D3D4F">
        <w:rPr>
          <w:rFonts w:ascii="Times New Roman" w:hAnsi="Times New Roman" w:cs="Times New Roman"/>
          <w:b/>
          <w:bCs/>
          <w:sz w:val="22"/>
          <w:szCs w:val="22"/>
        </w:rPr>
        <w:t>intermodalității rutier–naval–feroviar–aerian</w:t>
      </w:r>
      <w:r w:rsidRPr="007D3D4F">
        <w:rPr>
          <w:rFonts w:ascii="Times New Roman" w:hAnsi="Times New Roman" w:cs="Times New Roman"/>
          <w:sz w:val="22"/>
          <w:szCs w:val="22"/>
        </w:rPr>
        <w:t xml:space="preserve"> menționată în răspunsurile anterioare.</w:t>
      </w:r>
    </w:p>
    <w:p w14:paraId="2E307431" w14:textId="083D07D8" w:rsidR="007D3D4F" w:rsidRPr="007D3D4F" w:rsidRDefault="007D3D4F" w:rsidP="002E0C1B">
      <w:pPr>
        <w:pStyle w:val="Smn"/>
        <w:rPr>
          <w:rFonts w:ascii="Times New Roman" w:hAnsi="Times New Roman" w:cs="Times New Roman"/>
          <w:sz w:val="22"/>
          <w:szCs w:val="22"/>
        </w:rPr>
      </w:pPr>
      <w:r w:rsidRPr="007D3D4F">
        <w:rPr>
          <w:rFonts w:ascii="Times New Roman" w:hAnsi="Times New Roman" w:cs="Times New Roman"/>
          <w:sz w:val="22"/>
          <w:szCs w:val="22"/>
        </w:rPr>
        <w:t xml:space="preserve">Dimensiunile orientate spre mobilitate sustenabilă și management inteligent al traficului sunt, de asemenea, bine cotate: </w:t>
      </w:r>
      <w:r w:rsidRPr="007D3D4F">
        <w:rPr>
          <w:rFonts w:ascii="Times New Roman" w:hAnsi="Times New Roman" w:cs="Times New Roman"/>
          <w:b/>
          <w:bCs/>
          <w:sz w:val="22"/>
          <w:szCs w:val="22"/>
        </w:rPr>
        <w:t>infrastructură pentru biciclete și transport alternativ (4,29)</w:t>
      </w:r>
      <w:r w:rsidRPr="007D3D4F">
        <w:rPr>
          <w:rFonts w:ascii="Times New Roman" w:hAnsi="Times New Roman" w:cs="Times New Roman"/>
          <w:sz w:val="22"/>
          <w:szCs w:val="22"/>
        </w:rPr>
        <w:t xml:space="preserve"> și </w:t>
      </w:r>
      <w:r w:rsidRPr="007D3D4F">
        <w:rPr>
          <w:rFonts w:ascii="Times New Roman" w:hAnsi="Times New Roman" w:cs="Times New Roman"/>
          <w:b/>
          <w:bCs/>
          <w:sz w:val="22"/>
          <w:szCs w:val="22"/>
        </w:rPr>
        <w:t>digitalizare/monitorizare ITS–GIS (4,23)</w:t>
      </w:r>
      <w:r w:rsidRPr="007D3D4F">
        <w:rPr>
          <w:rFonts w:ascii="Times New Roman" w:hAnsi="Times New Roman" w:cs="Times New Roman"/>
          <w:sz w:val="22"/>
          <w:szCs w:val="22"/>
        </w:rPr>
        <w:t xml:space="preserve">. </w:t>
      </w:r>
      <w:r w:rsidRPr="007D3D4F">
        <w:rPr>
          <w:rFonts w:ascii="Times New Roman" w:hAnsi="Times New Roman" w:cs="Times New Roman"/>
          <w:b/>
          <w:bCs/>
          <w:sz w:val="22"/>
          <w:szCs w:val="22"/>
        </w:rPr>
        <w:t>Infrastructura aeroportuară (4,07)</w:t>
      </w:r>
      <w:r w:rsidRPr="007D3D4F">
        <w:rPr>
          <w:rFonts w:ascii="Times New Roman" w:hAnsi="Times New Roman" w:cs="Times New Roman"/>
          <w:sz w:val="22"/>
          <w:szCs w:val="22"/>
        </w:rPr>
        <w:t xml:space="preserve"> încheie clasamentul, rămânând totuși peste pragul de importanță ridicată, </w:t>
      </w:r>
      <w:r w:rsidR="00E32FAC" w:rsidRPr="002E0C1B">
        <w:rPr>
          <w:rFonts w:ascii="Times New Roman" w:hAnsi="Times New Roman" w:cs="Times New Roman"/>
          <w:sz w:val="22"/>
          <w:szCs w:val="22"/>
        </w:rPr>
        <w:t>aspect care reflectă</w:t>
      </w:r>
      <w:r w:rsidRPr="007D3D4F">
        <w:rPr>
          <w:rFonts w:ascii="Times New Roman" w:hAnsi="Times New Roman" w:cs="Times New Roman"/>
          <w:sz w:val="22"/>
          <w:szCs w:val="22"/>
        </w:rPr>
        <w:t xml:space="preserve"> rolul mai redus al transportului aerian în mobilitatea curentă a județului și cu necesitatea de a-i consolida funcția de conectivitate externă.</w:t>
      </w:r>
    </w:p>
    <w:p w14:paraId="52385000" w14:textId="21485395" w:rsidR="00C764AE" w:rsidRPr="002E0C1B" w:rsidRDefault="007D3D4F" w:rsidP="002E0C1B">
      <w:pPr>
        <w:pStyle w:val="Smn"/>
        <w:rPr>
          <w:rFonts w:ascii="Times New Roman" w:hAnsi="Times New Roman" w:cs="Times New Roman"/>
          <w:b/>
          <w:bCs/>
          <w:sz w:val="22"/>
          <w:szCs w:val="22"/>
        </w:rPr>
      </w:pPr>
      <w:r w:rsidRPr="002E0C1B">
        <w:rPr>
          <w:rFonts w:ascii="Times New Roman" w:hAnsi="Times New Roman" w:cs="Times New Roman"/>
          <w:b/>
          <w:bCs/>
          <w:sz w:val="22"/>
          <w:szCs w:val="22"/>
        </w:rPr>
        <w:lastRenderedPageBreak/>
        <w:t>7. Ce zone sau localități considerați că sunt slab conectate la rețeaua de transport și necesită intervenții urgente?</w:t>
      </w:r>
    </w:p>
    <w:p w14:paraId="11FAC846" w14:textId="1FF875D2" w:rsidR="00AA1106" w:rsidRPr="00AA1106" w:rsidRDefault="001A6E1A" w:rsidP="002E0C1B">
      <w:pPr>
        <w:pStyle w:val="Smn"/>
        <w:rPr>
          <w:rFonts w:ascii="Times New Roman" w:hAnsi="Times New Roman" w:cs="Times New Roman"/>
          <w:sz w:val="22"/>
          <w:szCs w:val="22"/>
        </w:rPr>
      </w:pPr>
      <w:r w:rsidRPr="002E0C1B">
        <w:rPr>
          <w:rFonts w:ascii="Times New Roman" w:hAnsi="Times New Roman" w:cs="Times New Roman"/>
          <w:sz w:val="22"/>
          <w:szCs w:val="22"/>
        </w:rPr>
        <w:t>În r</w:t>
      </w:r>
      <w:r w:rsidR="00AA1106" w:rsidRPr="00AA1106">
        <w:rPr>
          <w:rFonts w:ascii="Times New Roman" w:hAnsi="Times New Roman" w:cs="Times New Roman"/>
          <w:sz w:val="22"/>
          <w:szCs w:val="22"/>
        </w:rPr>
        <w:t>ăspunsurile</w:t>
      </w:r>
      <w:r w:rsidRPr="002E0C1B">
        <w:rPr>
          <w:rFonts w:ascii="Times New Roman" w:hAnsi="Times New Roman" w:cs="Times New Roman"/>
          <w:sz w:val="22"/>
          <w:szCs w:val="22"/>
        </w:rPr>
        <w:t xml:space="preserve"> colectate se regăsesc</w:t>
      </w:r>
      <w:r w:rsidR="00AA1106" w:rsidRPr="00AA1106">
        <w:rPr>
          <w:rFonts w:ascii="Times New Roman" w:hAnsi="Times New Roman" w:cs="Times New Roman"/>
          <w:sz w:val="22"/>
          <w:szCs w:val="22"/>
        </w:rPr>
        <w:t xml:space="preserve"> mențiuni repetate </w:t>
      </w:r>
      <w:r w:rsidRPr="002E0C1B">
        <w:rPr>
          <w:rFonts w:ascii="Times New Roman" w:hAnsi="Times New Roman" w:cs="Times New Roman"/>
          <w:sz w:val="22"/>
          <w:szCs w:val="22"/>
        </w:rPr>
        <w:t>cu privire la</w:t>
      </w:r>
      <w:r w:rsidR="00AA1106" w:rsidRPr="00AA1106">
        <w:rPr>
          <w:rFonts w:ascii="Times New Roman" w:hAnsi="Times New Roman" w:cs="Times New Roman"/>
          <w:sz w:val="22"/>
          <w:szCs w:val="22"/>
        </w:rPr>
        <w:t xml:space="preserve"> </w:t>
      </w:r>
      <w:r w:rsidR="00AA1106" w:rsidRPr="00AA1106">
        <w:rPr>
          <w:rFonts w:ascii="Times New Roman" w:hAnsi="Times New Roman" w:cs="Times New Roman"/>
          <w:b/>
          <w:bCs/>
          <w:sz w:val="22"/>
          <w:szCs w:val="22"/>
        </w:rPr>
        <w:t>Chilia Veche</w:t>
      </w:r>
      <w:r w:rsidR="00AA1106" w:rsidRPr="00AA1106">
        <w:rPr>
          <w:rFonts w:ascii="Times New Roman" w:hAnsi="Times New Roman" w:cs="Times New Roman"/>
          <w:sz w:val="22"/>
          <w:szCs w:val="22"/>
        </w:rPr>
        <w:t xml:space="preserve">, </w:t>
      </w:r>
      <w:r w:rsidR="00AA1106" w:rsidRPr="00AA1106">
        <w:rPr>
          <w:rFonts w:ascii="Times New Roman" w:hAnsi="Times New Roman" w:cs="Times New Roman"/>
          <w:b/>
          <w:bCs/>
          <w:sz w:val="22"/>
          <w:szCs w:val="22"/>
        </w:rPr>
        <w:t>Periprava</w:t>
      </w:r>
      <w:r w:rsidR="00AA1106" w:rsidRPr="00AA1106">
        <w:rPr>
          <w:rFonts w:ascii="Times New Roman" w:hAnsi="Times New Roman" w:cs="Times New Roman"/>
          <w:sz w:val="22"/>
          <w:szCs w:val="22"/>
        </w:rPr>
        <w:t xml:space="preserve">, </w:t>
      </w:r>
      <w:r w:rsidR="00AA1106" w:rsidRPr="00AA1106">
        <w:rPr>
          <w:rFonts w:ascii="Times New Roman" w:hAnsi="Times New Roman" w:cs="Times New Roman"/>
          <w:b/>
          <w:bCs/>
          <w:sz w:val="22"/>
          <w:szCs w:val="22"/>
        </w:rPr>
        <w:t>Letea</w:t>
      </w:r>
      <w:r w:rsidR="00AA1106" w:rsidRPr="00AA1106">
        <w:rPr>
          <w:rFonts w:ascii="Times New Roman" w:hAnsi="Times New Roman" w:cs="Times New Roman"/>
          <w:sz w:val="22"/>
          <w:szCs w:val="22"/>
        </w:rPr>
        <w:t xml:space="preserve">, </w:t>
      </w:r>
      <w:r w:rsidR="00AA1106" w:rsidRPr="00AA1106">
        <w:rPr>
          <w:rFonts w:ascii="Times New Roman" w:hAnsi="Times New Roman" w:cs="Times New Roman"/>
          <w:b/>
          <w:bCs/>
          <w:sz w:val="22"/>
          <w:szCs w:val="22"/>
        </w:rPr>
        <w:t>Caraorman</w:t>
      </w:r>
      <w:r w:rsidR="00AA1106" w:rsidRPr="00AA1106">
        <w:rPr>
          <w:rFonts w:ascii="Times New Roman" w:hAnsi="Times New Roman" w:cs="Times New Roman"/>
          <w:sz w:val="22"/>
          <w:szCs w:val="22"/>
        </w:rPr>
        <w:t xml:space="preserve">, </w:t>
      </w:r>
      <w:r w:rsidR="00AA1106" w:rsidRPr="00AA1106">
        <w:rPr>
          <w:rFonts w:ascii="Times New Roman" w:hAnsi="Times New Roman" w:cs="Times New Roman"/>
          <w:b/>
          <w:bCs/>
          <w:sz w:val="22"/>
          <w:szCs w:val="22"/>
        </w:rPr>
        <w:t>C.A. Rosetti</w:t>
      </w:r>
      <w:r w:rsidR="00AA1106" w:rsidRPr="00AA1106">
        <w:rPr>
          <w:rFonts w:ascii="Times New Roman" w:hAnsi="Times New Roman" w:cs="Times New Roman"/>
          <w:sz w:val="22"/>
          <w:szCs w:val="22"/>
        </w:rPr>
        <w:t xml:space="preserve"> și </w:t>
      </w:r>
      <w:r w:rsidR="00AA1106" w:rsidRPr="00AA1106">
        <w:rPr>
          <w:rFonts w:ascii="Times New Roman" w:hAnsi="Times New Roman" w:cs="Times New Roman"/>
          <w:b/>
          <w:bCs/>
          <w:sz w:val="22"/>
          <w:szCs w:val="22"/>
        </w:rPr>
        <w:t>Gorgova</w:t>
      </w:r>
      <w:r w:rsidR="00AA1106" w:rsidRPr="00AA1106">
        <w:rPr>
          <w:rFonts w:ascii="Times New Roman" w:hAnsi="Times New Roman" w:cs="Times New Roman"/>
          <w:sz w:val="22"/>
          <w:szCs w:val="22"/>
        </w:rPr>
        <w:t xml:space="preserve">, precum și formulări generale de tipul </w:t>
      </w:r>
      <w:r w:rsidR="00AA1106" w:rsidRPr="00AA1106">
        <w:rPr>
          <w:rFonts w:ascii="Times New Roman" w:hAnsi="Times New Roman" w:cs="Times New Roman"/>
          <w:b/>
          <w:bCs/>
          <w:sz w:val="22"/>
          <w:szCs w:val="22"/>
        </w:rPr>
        <w:t>„localitățile/zonele din Delta Dunării”</w:t>
      </w:r>
      <w:r w:rsidR="00AA1106" w:rsidRPr="00AA1106">
        <w:rPr>
          <w:rFonts w:ascii="Times New Roman" w:hAnsi="Times New Roman" w:cs="Times New Roman"/>
          <w:sz w:val="22"/>
          <w:szCs w:val="22"/>
        </w:rPr>
        <w:t xml:space="preserve">. Acest nucleu reflectă </w:t>
      </w:r>
      <w:r w:rsidR="00AA1106" w:rsidRPr="00AA1106">
        <w:rPr>
          <w:rFonts w:ascii="Times New Roman" w:hAnsi="Times New Roman" w:cs="Times New Roman"/>
          <w:b/>
          <w:bCs/>
          <w:sz w:val="22"/>
          <w:szCs w:val="22"/>
        </w:rPr>
        <w:t>fragmentarea spațială a Deltei</w:t>
      </w:r>
      <w:r w:rsidR="00AA1106" w:rsidRPr="00AA1106">
        <w:rPr>
          <w:rFonts w:ascii="Times New Roman" w:hAnsi="Times New Roman" w:cs="Times New Roman"/>
          <w:sz w:val="22"/>
          <w:szCs w:val="22"/>
        </w:rPr>
        <w:t xml:space="preserve"> și </w:t>
      </w:r>
      <w:r w:rsidR="00AA1106" w:rsidRPr="00AA1106">
        <w:rPr>
          <w:rFonts w:ascii="Times New Roman" w:hAnsi="Times New Roman" w:cs="Times New Roman"/>
          <w:b/>
          <w:bCs/>
          <w:sz w:val="22"/>
          <w:szCs w:val="22"/>
        </w:rPr>
        <w:t>dependența de legături navale</w:t>
      </w:r>
      <w:r w:rsidR="00AA1106" w:rsidRPr="00AA1106">
        <w:rPr>
          <w:rFonts w:ascii="Times New Roman" w:hAnsi="Times New Roman" w:cs="Times New Roman"/>
          <w:sz w:val="22"/>
          <w:szCs w:val="22"/>
        </w:rPr>
        <w:t>, care limitează continuitatea rutieră și crește vulnerabilitatea la izolare.</w:t>
      </w:r>
    </w:p>
    <w:p w14:paraId="5CE1E3EB" w14:textId="77777777" w:rsidR="00AA1106" w:rsidRPr="00AA1106" w:rsidRDefault="00AA1106" w:rsidP="002E0C1B">
      <w:pPr>
        <w:pStyle w:val="Smn"/>
        <w:rPr>
          <w:rFonts w:ascii="Times New Roman" w:hAnsi="Times New Roman" w:cs="Times New Roman"/>
          <w:spacing w:val="-2"/>
          <w:sz w:val="22"/>
          <w:szCs w:val="22"/>
        </w:rPr>
      </w:pPr>
      <w:r w:rsidRPr="00AA1106">
        <w:rPr>
          <w:rFonts w:ascii="Times New Roman" w:hAnsi="Times New Roman" w:cs="Times New Roman"/>
          <w:spacing w:val="-2"/>
          <w:sz w:val="22"/>
          <w:szCs w:val="22"/>
        </w:rPr>
        <w:t xml:space="preserve">În afara Deltei, sunt semnalate coridoare și localități din </w:t>
      </w:r>
      <w:r w:rsidRPr="00AA1106">
        <w:rPr>
          <w:rFonts w:ascii="Times New Roman" w:hAnsi="Times New Roman" w:cs="Times New Roman"/>
          <w:b/>
          <w:bCs/>
          <w:spacing w:val="-2"/>
          <w:sz w:val="22"/>
          <w:szCs w:val="22"/>
        </w:rPr>
        <w:t>nord-vestul județului</w:t>
      </w:r>
      <w:r w:rsidRPr="00AA1106">
        <w:rPr>
          <w:rFonts w:ascii="Times New Roman" w:hAnsi="Times New Roman" w:cs="Times New Roman"/>
          <w:spacing w:val="-2"/>
          <w:sz w:val="22"/>
          <w:szCs w:val="22"/>
        </w:rPr>
        <w:t xml:space="preserve">: </w:t>
      </w:r>
      <w:r w:rsidRPr="00AA1106">
        <w:rPr>
          <w:rFonts w:ascii="Times New Roman" w:hAnsi="Times New Roman" w:cs="Times New Roman"/>
          <w:b/>
          <w:bCs/>
          <w:spacing w:val="-2"/>
          <w:sz w:val="22"/>
          <w:szCs w:val="22"/>
        </w:rPr>
        <w:t>Măcin – Carcaliu – Greci – Smârdan – Jijila</w:t>
      </w:r>
      <w:r w:rsidRPr="00AA1106">
        <w:rPr>
          <w:rFonts w:ascii="Times New Roman" w:hAnsi="Times New Roman" w:cs="Times New Roman"/>
          <w:spacing w:val="-2"/>
          <w:sz w:val="22"/>
          <w:szCs w:val="22"/>
        </w:rPr>
        <w:t xml:space="preserve">, respectiv </w:t>
      </w:r>
      <w:r w:rsidRPr="00AA1106">
        <w:rPr>
          <w:rFonts w:ascii="Times New Roman" w:hAnsi="Times New Roman" w:cs="Times New Roman"/>
          <w:b/>
          <w:bCs/>
          <w:spacing w:val="-2"/>
          <w:sz w:val="22"/>
          <w:szCs w:val="22"/>
        </w:rPr>
        <w:t>Hamcearca</w:t>
      </w:r>
      <w:r w:rsidRPr="00AA1106">
        <w:rPr>
          <w:rFonts w:ascii="Times New Roman" w:hAnsi="Times New Roman" w:cs="Times New Roman"/>
          <w:spacing w:val="-2"/>
          <w:sz w:val="22"/>
          <w:szCs w:val="22"/>
        </w:rPr>
        <w:t xml:space="preserve"> și </w:t>
      </w:r>
      <w:r w:rsidRPr="00AA1106">
        <w:rPr>
          <w:rFonts w:ascii="Times New Roman" w:hAnsi="Times New Roman" w:cs="Times New Roman"/>
          <w:b/>
          <w:bCs/>
          <w:spacing w:val="-2"/>
          <w:sz w:val="22"/>
          <w:szCs w:val="22"/>
        </w:rPr>
        <w:t>Grindu</w:t>
      </w:r>
      <w:r w:rsidRPr="00AA1106">
        <w:rPr>
          <w:rFonts w:ascii="Times New Roman" w:hAnsi="Times New Roman" w:cs="Times New Roman"/>
          <w:spacing w:val="-2"/>
          <w:sz w:val="22"/>
          <w:szCs w:val="22"/>
        </w:rPr>
        <w:t xml:space="preserve">. Apar, de asemenea, mențiuni punctuale pentru </w:t>
      </w:r>
      <w:r w:rsidRPr="00AA1106">
        <w:rPr>
          <w:rFonts w:ascii="Times New Roman" w:hAnsi="Times New Roman" w:cs="Times New Roman"/>
          <w:b/>
          <w:bCs/>
          <w:spacing w:val="-2"/>
          <w:sz w:val="22"/>
          <w:szCs w:val="22"/>
        </w:rPr>
        <w:t>Băltenii de Jos (Beștepe)</w:t>
      </w:r>
      <w:r w:rsidRPr="00AA1106">
        <w:rPr>
          <w:rFonts w:ascii="Times New Roman" w:hAnsi="Times New Roman" w:cs="Times New Roman"/>
          <w:spacing w:val="-2"/>
          <w:sz w:val="22"/>
          <w:szCs w:val="22"/>
        </w:rPr>
        <w:t xml:space="preserve">, </w:t>
      </w:r>
      <w:r w:rsidRPr="00AA1106">
        <w:rPr>
          <w:rFonts w:ascii="Times New Roman" w:hAnsi="Times New Roman" w:cs="Times New Roman"/>
          <w:b/>
          <w:bCs/>
          <w:spacing w:val="-2"/>
          <w:sz w:val="22"/>
          <w:szCs w:val="22"/>
        </w:rPr>
        <w:t>Calfa</w:t>
      </w:r>
      <w:r w:rsidRPr="00AA1106">
        <w:rPr>
          <w:rFonts w:ascii="Times New Roman" w:hAnsi="Times New Roman" w:cs="Times New Roman"/>
          <w:spacing w:val="-2"/>
          <w:sz w:val="22"/>
          <w:szCs w:val="22"/>
        </w:rPr>
        <w:t xml:space="preserve"> și </w:t>
      </w:r>
      <w:r w:rsidRPr="00AA1106">
        <w:rPr>
          <w:rFonts w:ascii="Times New Roman" w:hAnsi="Times New Roman" w:cs="Times New Roman"/>
          <w:b/>
          <w:bCs/>
          <w:spacing w:val="-2"/>
          <w:sz w:val="22"/>
          <w:szCs w:val="22"/>
        </w:rPr>
        <w:t>Măgurele</w:t>
      </w:r>
      <w:r w:rsidRPr="00AA1106">
        <w:rPr>
          <w:rFonts w:ascii="Times New Roman" w:hAnsi="Times New Roman" w:cs="Times New Roman"/>
          <w:spacing w:val="-2"/>
          <w:sz w:val="22"/>
          <w:szCs w:val="22"/>
        </w:rPr>
        <w:t xml:space="preserve">, situate în </w:t>
      </w:r>
      <w:r w:rsidRPr="00AA1106">
        <w:rPr>
          <w:rFonts w:ascii="Times New Roman" w:hAnsi="Times New Roman" w:cs="Times New Roman"/>
          <w:b/>
          <w:bCs/>
          <w:spacing w:val="-2"/>
          <w:sz w:val="22"/>
          <w:szCs w:val="22"/>
        </w:rPr>
        <w:t>sud-vestul județului</w:t>
      </w:r>
      <w:r w:rsidRPr="00AA1106">
        <w:rPr>
          <w:rFonts w:ascii="Times New Roman" w:hAnsi="Times New Roman" w:cs="Times New Roman"/>
          <w:spacing w:val="-2"/>
          <w:sz w:val="22"/>
          <w:szCs w:val="22"/>
        </w:rPr>
        <w:t xml:space="preserve"> pe axele de acces către Dunăre.</w:t>
      </w:r>
    </w:p>
    <w:p w14:paraId="60F19AF1" w14:textId="77777777" w:rsidR="00AA1106" w:rsidRPr="002E0C1B" w:rsidRDefault="00AA1106" w:rsidP="002E0C1B">
      <w:pPr>
        <w:pStyle w:val="Smn"/>
        <w:rPr>
          <w:rFonts w:ascii="Times New Roman" w:hAnsi="Times New Roman" w:cs="Times New Roman"/>
          <w:sz w:val="22"/>
          <w:szCs w:val="22"/>
        </w:rPr>
      </w:pPr>
      <w:r w:rsidRPr="00AA1106">
        <w:rPr>
          <w:rFonts w:ascii="Times New Roman" w:hAnsi="Times New Roman" w:cs="Times New Roman"/>
          <w:sz w:val="22"/>
          <w:szCs w:val="22"/>
        </w:rPr>
        <w:t xml:space="preserve">Sunt prezente și referințe izolate la </w:t>
      </w:r>
      <w:r w:rsidRPr="00AA1106">
        <w:rPr>
          <w:rFonts w:ascii="Times New Roman" w:hAnsi="Times New Roman" w:cs="Times New Roman"/>
          <w:b/>
          <w:bCs/>
          <w:sz w:val="22"/>
          <w:szCs w:val="22"/>
        </w:rPr>
        <w:t>Municipiul Tulcea</w:t>
      </w:r>
      <w:r w:rsidRPr="00AA1106">
        <w:rPr>
          <w:rFonts w:ascii="Times New Roman" w:hAnsi="Times New Roman" w:cs="Times New Roman"/>
          <w:sz w:val="22"/>
          <w:szCs w:val="22"/>
        </w:rPr>
        <w:t xml:space="preserve"> sau la </w:t>
      </w:r>
      <w:r w:rsidRPr="00AA1106">
        <w:rPr>
          <w:rFonts w:ascii="Times New Roman" w:hAnsi="Times New Roman" w:cs="Times New Roman"/>
          <w:b/>
          <w:bCs/>
          <w:sz w:val="22"/>
          <w:szCs w:val="22"/>
        </w:rPr>
        <w:t>întreg județul</w:t>
      </w:r>
      <w:r w:rsidRPr="00AA1106">
        <w:rPr>
          <w:rFonts w:ascii="Times New Roman" w:hAnsi="Times New Roman" w:cs="Times New Roman"/>
          <w:sz w:val="22"/>
          <w:szCs w:val="22"/>
        </w:rPr>
        <w:t xml:space="preserve">, ceea ce sugerează că o parte a respondenților percep dificultățile de conectivitate ca </w:t>
      </w:r>
      <w:r w:rsidRPr="00AA1106">
        <w:rPr>
          <w:rFonts w:ascii="Times New Roman" w:hAnsi="Times New Roman" w:cs="Times New Roman"/>
          <w:b/>
          <w:bCs/>
          <w:sz w:val="22"/>
          <w:szCs w:val="22"/>
        </w:rPr>
        <w:t>probleme sistemice</w:t>
      </w:r>
      <w:r w:rsidRPr="00AA1106">
        <w:rPr>
          <w:rFonts w:ascii="Times New Roman" w:hAnsi="Times New Roman" w:cs="Times New Roman"/>
          <w:sz w:val="22"/>
          <w:szCs w:val="22"/>
        </w:rPr>
        <w:t xml:space="preserve">, nu exclusiv locale. În ansamblu, modelul de răspunsuri urmărește </w:t>
      </w:r>
      <w:r w:rsidRPr="00AA1106">
        <w:rPr>
          <w:rFonts w:ascii="Times New Roman" w:hAnsi="Times New Roman" w:cs="Times New Roman"/>
          <w:b/>
          <w:bCs/>
          <w:sz w:val="22"/>
          <w:szCs w:val="22"/>
        </w:rPr>
        <w:t>geografia hidrografică și așezările dispersate</w:t>
      </w:r>
      <w:r w:rsidRPr="00AA1106">
        <w:rPr>
          <w:rFonts w:ascii="Times New Roman" w:hAnsi="Times New Roman" w:cs="Times New Roman"/>
          <w:sz w:val="22"/>
          <w:szCs w:val="22"/>
        </w:rPr>
        <w:t xml:space="preserve"> ale județului, cu accent pe </w:t>
      </w:r>
      <w:r w:rsidRPr="00AA1106">
        <w:rPr>
          <w:rFonts w:ascii="Times New Roman" w:hAnsi="Times New Roman" w:cs="Times New Roman"/>
          <w:b/>
          <w:bCs/>
          <w:sz w:val="22"/>
          <w:szCs w:val="22"/>
        </w:rPr>
        <w:t>brațul Chilia</w:t>
      </w:r>
      <w:r w:rsidRPr="00AA1106">
        <w:rPr>
          <w:rFonts w:ascii="Times New Roman" w:hAnsi="Times New Roman" w:cs="Times New Roman"/>
          <w:sz w:val="22"/>
          <w:szCs w:val="22"/>
        </w:rPr>
        <w:t xml:space="preserve"> și pe așezările de grind din Delta Dunării.</w:t>
      </w:r>
    </w:p>
    <w:p w14:paraId="1AB22D9C" w14:textId="1C4E5BCF" w:rsidR="0044696A" w:rsidRPr="00AA1106" w:rsidRDefault="0044696A" w:rsidP="002E0C1B">
      <w:pPr>
        <w:pStyle w:val="Smn"/>
        <w:rPr>
          <w:rFonts w:ascii="Times New Roman" w:hAnsi="Times New Roman" w:cs="Times New Roman"/>
          <w:b/>
          <w:bCs/>
          <w:sz w:val="22"/>
          <w:szCs w:val="22"/>
        </w:rPr>
      </w:pPr>
      <w:r w:rsidRPr="002E0C1B">
        <w:rPr>
          <w:rFonts w:ascii="Times New Roman" w:hAnsi="Times New Roman" w:cs="Times New Roman"/>
          <w:b/>
          <w:bCs/>
          <w:sz w:val="22"/>
          <w:szCs w:val="22"/>
        </w:rPr>
        <w:t>8. Care considerați că sunt principalele oportunități pentru dezvoltarea transporturilor în Tulcea?</w:t>
      </w:r>
    </w:p>
    <w:p w14:paraId="22DA29BA" w14:textId="776789FF" w:rsidR="007D3D4F" w:rsidRPr="002E0C1B" w:rsidRDefault="0044696A" w:rsidP="002E0C1B">
      <w:pPr>
        <w:pStyle w:val="Smn"/>
        <w:rPr>
          <w:rFonts w:ascii="Times New Roman" w:hAnsi="Times New Roman" w:cs="Times New Roman"/>
          <w:sz w:val="22"/>
          <w:szCs w:val="22"/>
        </w:rPr>
      </w:pPr>
      <w:r w:rsidRPr="002E0C1B">
        <w:rPr>
          <w:rFonts w:ascii="Times New Roman" w:hAnsi="Times New Roman" w:cs="Times New Roman"/>
          <w:noProof/>
          <w:sz w:val="22"/>
          <w:szCs w:val="22"/>
          <w:lang w:eastAsia="ro-RO"/>
        </w:rPr>
        <w:drawing>
          <wp:inline distT="0" distB="0" distL="0" distR="0" wp14:anchorId="5A2605A7" wp14:editId="621B3355">
            <wp:extent cx="5800725" cy="2409825"/>
            <wp:effectExtent l="0" t="0" r="0" b="0"/>
            <wp:docPr id="2098951865"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E5AA87-245A-280B-FC6F-ECE79DFBE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90BBFD" w14:textId="3CE0EAD0" w:rsidR="0044696A" w:rsidRPr="002E0C1B" w:rsidRDefault="0044696A" w:rsidP="002E0C1B">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8</w:t>
      </w:r>
      <w:r w:rsidRPr="002E0C1B">
        <w:rPr>
          <w:rFonts w:ascii="Times New Roman" w:hAnsi="Times New Roman" w:cs="Times New Roman"/>
          <w:b/>
          <w:bCs/>
        </w:rPr>
        <w:fldChar w:fldCharType="end"/>
      </w:r>
      <w:r w:rsidRPr="002E0C1B">
        <w:rPr>
          <w:rFonts w:ascii="Times New Roman" w:hAnsi="Times New Roman" w:cs="Times New Roman"/>
          <w:b/>
          <w:bCs/>
        </w:rPr>
        <w:t xml:space="preserve">: Principalele </w:t>
      </w:r>
      <w:r w:rsidR="001A26D1" w:rsidRPr="002E0C1B">
        <w:rPr>
          <w:rFonts w:ascii="Times New Roman" w:hAnsi="Times New Roman" w:cs="Times New Roman"/>
          <w:b/>
          <w:bCs/>
        </w:rPr>
        <w:t xml:space="preserve">oportunități pentru dezvoltarea transporturilor în </w:t>
      </w:r>
      <w:r w:rsidRPr="002E0C1B">
        <w:rPr>
          <w:rFonts w:ascii="Times New Roman" w:hAnsi="Times New Roman" w:cs="Times New Roman"/>
          <w:b/>
          <w:bCs/>
        </w:rPr>
        <w:t>județul Tulcea</w:t>
      </w:r>
    </w:p>
    <w:p w14:paraId="69889D64" w14:textId="77777777" w:rsidR="0044696A" w:rsidRPr="002E0C1B" w:rsidRDefault="0044696A" w:rsidP="002E0C1B">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3DB4D4FE" w14:textId="7BDF1718" w:rsidR="00B80E2B" w:rsidRPr="00B80E2B" w:rsidRDefault="001A26D1" w:rsidP="002E0C1B">
      <w:pPr>
        <w:pStyle w:val="Smn"/>
        <w:rPr>
          <w:rFonts w:ascii="Times New Roman" w:hAnsi="Times New Roman" w:cs="Times New Roman"/>
          <w:spacing w:val="-4"/>
          <w:sz w:val="22"/>
          <w:szCs w:val="22"/>
        </w:rPr>
      </w:pPr>
      <w:r w:rsidRPr="002855E8">
        <w:rPr>
          <w:rFonts w:ascii="Times New Roman" w:hAnsi="Times New Roman" w:cs="Times New Roman"/>
          <w:spacing w:val="-4"/>
          <w:sz w:val="22"/>
          <w:szCs w:val="22"/>
        </w:rPr>
        <w:t xml:space="preserve">Principalele oportunități </w:t>
      </w:r>
      <w:r w:rsidR="005C1B61" w:rsidRPr="002855E8">
        <w:rPr>
          <w:rFonts w:ascii="Times New Roman" w:hAnsi="Times New Roman" w:cs="Times New Roman"/>
          <w:spacing w:val="-4"/>
          <w:sz w:val="22"/>
          <w:szCs w:val="22"/>
        </w:rPr>
        <w:t xml:space="preserve">identificate </w:t>
      </w:r>
      <w:r w:rsidRPr="002855E8">
        <w:rPr>
          <w:rFonts w:ascii="Times New Roman" w:hAnsi="Times New Roman" w:cs="Times New Roman"/>
          <w:spacing w:val="-4"/>
          <w:sz w:val="22"/>
          <w:szCs w:val="22"/>
        </w:rPr>
        <w:t xml:space="preserve">pentru dezvoltarea transporturilor în județul Tulcea </w:t>
      </w:r>
      <w:r w:rsidR="005C1B61" w:rsidRPr="002855E8">
        <w:rPr>
          <w:rFonts w:ascii="Times New Roman" w:hAnsi="Times New Roman" w:cs="Times New Roman"/>
          <w:spacing w:val="-4"/>
          <w:sz w:val="22"/>
          <w:szCs w:val="22"/>
        </w:rPr>
        <w:t xml:space="preserve">sunt </w:t>
      </w:r>
      <w:r w:rsidR="00B80E2B" w:rsidRPr="00B80E2B">
        <w:rPr>
          <w:rFonts w:ascii="Times New Roman" w:hAnsi="Times New Roman" w:cs="Times New Roman"/>
          <w:spacing w:val="-4"/>
          <w:sz w:val="22"/>
          <w:szCs w:val="22"/>
        </w:rPr>
        <w:t>ancorat</w:t>
      </w:r>
      <w:r w:rsidR="005C1B61" w:rsidRPr="002855E8">
        <w:rPr>
          <w:rFonts w:ascii="Times New Roman" w:hAnsi="Times New Roman" w:cs="Times New Roman"/>
          <w:spacing w:val="-4"/>
          <w:sz w:val="22"/>
          <w:szCs w:val="22"/>
        </w:rPr>
        <w:t>e</w:t>
      </w:r>
      <w:r w:rsidR="00B80E2B" w:rsidRPr="00B80E2B">
        <w:rPr>
          <w:rFonts w:ascii="Times New Roman" w:hAnsi="Times New Roman" w:cs="Times New Roman"/>
          <w:spacing w:val="-4"/>
          <w:sz w:val="22"/>
          <w:szCs w:val="22"/>
        </w:rPr>
        <w:t xml:space="preserve"> în avantajele hidro-teritoriale ale județului și în accesul la finanțare. </w:t>
      </w:r>
      <w:r w:rsidR="00B80E2B" w:rsidRPr="00B80E2B">
        <w:rPr>
          <w:rFonts w:ascii="Times New Roman" w:hAnsi="Times New Roman" w:cs="Times New Roman"/>
          <w:b/>
          <w:bCs/>
          <w:spacing w:val="-4"/>
          <w:sz w:val="22"/>
          <w:szCs w:val="22"/>
        </w:rPr>
        <w:t>Turismul în Deltă și pe litoral – 20,59%</w:t>
      </w:r>
      <w:r w:rsidR="00B80E2B" w:rsidRPr="00B80E2B">
        <w:rPr>
          <w:rFonts w:ascii="Times New Roman" w:hAnsi="Times New Roman" w:cs="Times New Roman"/>
          <w:spacing w:val="-4"/>
          <w:sz w:val="22"/>
          <w:szCs w:val="22"/>
        </w:rPr>
        <w:t xml:space="preserve"> </w:t>
      </w:r>
      <w:r w:rsidR="005C1B61" w:rsidRPr="002855E8">
        <w:rPr>
          <w:rFonts w:ascii="Times New Roman" w:hAnsi="Times New Roman" w:cs="Times New Roman"/>
          <w:spacing w:val="-4"/>
          <w:sz w:val="22"/>
          <w:szCs w:val="22"/>
        </w:rPr>
        <w:t>înregistrează</w:t>
      </w:r>
      <w:r w:rsidR="00B80E2B" w:rsidRPr="00B80E2B">
        <w:rPr>
          <w:rFonts w:ascii="Times New Roman" w:hAnsi="Times New Roman" w:cs="Times New Roman"/>
          <w:spacing w:val="-4"/>
          <w:sz w:val="22"/>
          <w:szCs w:val="22"/>
        </w:rPr>
        <w:t xml:space="preserve"> cea mai mare</w:t>
      </w:r>
      <w:r w:rsidR="005C1B61" w:rsidRPr="002855E8">
        <w:rPr>
          <w:rFonts w:ascii="Times New Roman" w:hAnsi="Times New Roman" w:cs="Times New Roman"/>
          <w:spacing w:val="-4"/>
          <w:sz w:val="22"/>
          <w:szCs w:val="22"/>
        </w:rPr>
        <w:t xml:space="preserve"> pondere</w:t>
      </w:r>
      <w:r w:rsidR="00B80E2B" w:rsidRPr="00B80E2B">
        <w:rPr>
          <w:rFonts w:ascii="Times New Roman" w:hAnsi="Times New Roman" w:cs="Times New Roman"/>
          <w:spacing w:val="-4"/>
          <w:sz w:val="22"/>
          <w:szCs w:val="22"/>
        </w:rPr>
        <w:t xml:space="preserve">, indicând </w:t>
      </w:r>
      <w:r w:rsidR="005C1B61" w:rsidRPr="002855E8">
        <w:rPr>
          <w:rFonts w:ascii="Times New Roman" w:hAnsi="Times New Roman" w:cs="Times New Roman"/>
          <w:spacing w:val="-4"/>
          <w:sz w:val="22"/>
          <w:szCs w:val="22"/>
        </w:rPr>
        <w:t xml:space="preserve">un </w:t>
      </w:r>
      <w:r w:rsidR="00B80E2B" w:rsidRPr="00B80E2B">
        <w:rPr>
          <w:rFonts w:ascii="Times New Roman" w:hAnsi="Times New Roman" w:cs="Times New Roman"/>
          <w:spacing w:val="-4"/>
          <w:sz w:val="22"/>
          <w:szCs w:val="22"/>
        </w:rPr>
        <w:t xml:space="preserve">potențial </w:t>
      </w:r>
      <w:r w:rsidR="005C1B61" w:rsidRPr="002855E8">
        <w:rPr>
          <w:rFonts w:ascii="Times New Roman" w:hAnsi="Times New Roman" w:cs="Times New Roman"/>
          <w:spacing w:val="-4"/>
          <w:sz w:val="22"/>
          <w:szCs w:val="22"/>
        </w:rPr>
        <w:t xml:space="preserve">ridicat </w:t>
      </w:r>
      <w:r w:rsidR="00B80E2B" w:rsidRPr="00B80E2B">
        <w:rPr>
          <w:rFonts w:ascii="Times New Roman" w:hAnsi="Times New Roman" w:cs="Times New Roman"/>
          <w:spacing w:val="-4"/>
          <w:sz w:val="22"/>
          <w:szCs w:val="22"/>
        </w:rPr>
        <w:t xml:space="preserve">de cerere </w:t>
      </w:r>
      <w:r w:rsidR="002E0C1B" w:rsidRPr="002855E8">
        <w:rPr>
          <w:rFonts w:ascii="Times New Roman" w:hAnsi="Times New Roman" w:cs="Times New Roman"/>
          <w:spacing w:val="-4"/>
          <w:sz w:val="22"/>
          <w:szCs w:val="22"/>
        </w:rPr>
        <w:t>de</w:t>
      </w:r>
      <w:r w:rsidR="00B80E2B" w:rsidRPr="00B80E2B">
        <w:rPr>
          <w:rFonts w:ascii="Times New Roman" w:hAnsi="Times New Roman" w:cs="Times New Roman"/>
          <w:spacing w:val="-4"/>
          <w:sz w:val="22"/>
          <w:szCs w:val="22"/>
        </w:rPr>
        <w:t xml:space="preserve"> mobilitate </w:t>
      </w:r>
      <w:r w:rsidR="002E0C1B" w:rsidRPr="002855E8">
        <w:rPr>
          <w:rFonts w:ascii="Times New Roman" w:hAnsi="Times New Roman" w:cs="Times New Roman"/>
          <w:spacing w:val="-4"/>
          <w:sz w:val="22"/>
          <w:szCs w:val="22"/>
        </w:rPr>
        <w:t>pentru</w:t>
      </w:r>
      <w:r w:rsidR="00B80E2B" w:rsidRPr="00B80E2B">
        <w:rPr>
          <w:rFonts w:ascii="Times New Roman" w:hAnsi="Times New Roman" w:cs="Times New Roman"/>
          <w:spacing w:val="-4"/>
          <w:sz w:val="22"/>
          <w:szCs w:val="22"/>
        </w:rPr>
        <w:t xml:space="preserve"> pasageri și servicii conexe în relație cu </w:t>
      </w:r>
      <w:r w:rsidR="00B80E2B" w:rsidRPr="00B80E2B">
        <w:rPr>
          <w:rFonts w:ascii="Times New Roman" w:hAnsi="Times New Roman" w:cs="Times New Roman"/>
          <w:b/>
          <w:bCs/>
          <w:spacing w:val="-4"/>
          <w:sz w:val="22"/>
          <w:szCs w:val="22"/>
        </w:rPr>
        <w:t>Delta Dunării</w:t>
      </w:r>
      <w:r w:rsidR="00B80E2B" w:rsidRPr="00B80E2B">
        <w:rPr>
          <w:rFonts w:ascii="Times New Roman" w:hAnsi="Times New Roman" w:cs="Times New Roman"/>
          <w:spacing w:val="-4"/>
          <w:sz w:val="22"/>
          <w:szCs w:val="22"/>
        </w:rPr>
        <w:t xml:space="preserve">. Urmează </w:t>
      </w:r>
      <w:r w:rsidR="00B80E2B" w:rsidRPr="00B80E2B">
        <w:rPr>
          <w:rFonts w:ascii="Times New Roman" w:hAnsi="Times New Roman" w:cs="Times New Roman"/>
          <w:b/>
          <w:bCs/>
          <w:spacing w:val="-4"/>
          <w:sz w:val="22"/>
          <w:szCs w:val="22"/>
        </w:rPr>
        <w:t>accesul la fonduri europene pentru transport verde – 16,91%</w:t>
      </w:r>
      <w:r w:rsidR="00B80E2B" w:rsidRPr="00B80E2B">
        <w:rPr>
          <w:rFonts w:ascii="Times New Roman" w:hAnsi="Times New Roman" w:cs="Times New Roman"/>
          <w:spacing w:val="-4"/>
          <w:sz w:val="22"/>
          <w:szCs w:val="22"/>
        </w:rPr>
        <w:t>, semn că modernizarea prin soluții cu emisii reduse este percepută drept vector important de dezvoltare.</w:t>
      </w:r>
    </w:p>
    <w:p w14:paraId="5D5BEDF6" w14:textId="244234BC" w:rsidR="00B80E2B" w:rsidRPr="00B80E2B" w:rsidRDefault="00B80E2B" w:rsidP="002E0C1B">
      <w:pPr>
        <w:pStyle w:val="Smn"/>
        <w:rPr>
          <w:rFonts w:ascii="Times New Roman" w:hAnsi="Times New Roman" w:cs="Times New Roman"/>
          <w:sz w:val="22"/>
          <w:szCs w:val="22"/>
        </w:rPr>
      </w:pPr>
      <w:r w:rsidRPr="00B80E2B">
        <w:rPr>
          <w:rFonts w:ascii="Times New Roman" w:hAnsi="Times New Roman" w:cs="Times New Roman"/>
          <w:sz w:val="22"/>
          <w:szCs w:val="22"/>
        </w:rPr>
        <w:t xml:space="preserve">Pe axa logistică-fluvială, respondenții indică </w:t>
      </w:r>
      <w:r w:rsidRPr="00B80E2B">
        <w:rPr>
          <w:rFonts w:ascii="Times New Roman" w:hAnsi="Times New Roman" w:cs="Times New Roman"/>
          <w:b/>
          <w:bCs/>
          <w:sz w:val="22"/>
          <w:szCs w:val="22"/>
        </w:rPr>
        <w:t>atragerea de investitori în logistică și transport – 13,24%</w:t>
      </w:r>
      <w:r w:rsidRPr="00B80E2B">
        <w:rPr>
          <w:rFonts w:ascii="Times New Roman" w:hAnsi="Times New Roman" w:cs="Times New Roman"/>
          <w:sz w:val="22"/>
          <w:szCs w:val="22"/>
        </w:rPr>
        <w:t xml:space="preserve">, împreună cu </w:t>
      </w:r>
      <w:r w:rsidRPr="00B80E2B">
        <w:rPr>
          <w:rFonts w:ascii="Times New Roman" w:hAnsi="Times New Roman" w:cs="Times New Roman"/>
          <w:b/>
          <w:bCs/>
          <w:sz w:val="22"/>
          <w:szCs w:val="22"/>
        </w:rPr>
        <w:t>dezvoltarea porturilor și a transportului naval – 12,50%</w:t>
      </w:r>
      <w:r w:rsidRPr="00B80E2B">
        <w:rPr>
          <w:rFonts w:ascii="Times New Roman" w:hAnsi="Times New Roman" w:cs="Times New Roman"/>
          <w:sz w:val="22"/>
          <w:szCs w:val="22"/>
        </w:rPr>
        <w:t xml:space="preserve"> și </w:t>
      </w:r>
      <w:r w:rsidRPr="00B80E2B">
        <w:rPr>
          <w:rFonts w:ascii="Times New Roman" w:hAnsi="Times New Roman" w:cs="Times New Roman"/>
          <w:b/>
          <w:bCs/>
          <w:sz w:val="22"/>
          <w:szCs w:val="22"/>
        </w:rPr>
        <w:t>dezvoltarea transportului de mărfuri pe Dunăre – 12,50%</w:t>
      </w:r>
      <w:r w:rsidR="00662188">
        <w:rPr>
          <w:rFonts w:ascii="Times New Roman" w:hAnsi="Times New Roman" w:cs="Times New Roman"/>
          <w:sz w:val="22"/>
          <w:szCs w:val="22"/>
        </w:rPr>
        <w:t>.</w:t>
      </w:r>
      <w:r w:rsidRPr="00B80E2B">
        <w:rPr>
          <w:rFonts w:ascii="Times New Roman" w:hAnsi="Times New Roman" w:cs="Times New Roman"/>
          <w:sz w:val="22"/>
          <w:szCs w:val="22"/>
        </w:rPr>
        <w:t xml:space="preserve"> </w:t>
      </w:r>
      <w:r w:rsidR="00662188">
        <w:rPr>
          <w:rFonts w:ascii="Times New Roman" w:hAnsi="Times New Roman" w:cs="Times New Roman"/>
          <w:sz w:val="22"/>
          <w:szCs w:val="22"/>
        </w:rPr>
        <w:t xml:space="preserve">Ponderile înregistrate subliniază </w:t>
      </w:r>
      <w:r w:rsidRPr="00B80E2B">
        <w:rPr>
          <w:rFonts w:ascii="Times New Roman" w:hAnsi="Times New Roman" w:cs="Times New Roman"/>
          <w:sz w:val="22"/>
          <w:szCs w:val="22"/>
        </w:rPr>
        <w:t xml:space="preserve">rolul coridorului dunărean și al porturilor </w:t>
      </w:r>
      <w:r w:rsidRPr="00B80E2B">
        <w:rPr>
          <w:rFonts w:ascii="Times New Roman" w:hAnsi="Times New Roman" w:cs="Times New Roman"/>
          <w:b/>
          <w:bCs/>
          <w:sz w:val="22"/>
          <w:szCs w:val="22"/>
        </w:rPr>
        <w:t>Tulcea–Sulina</w:t>
      </w:r>
      <w:r w:rsidRPr="00B80E2B">
        <w:rPr>
          <w:rFonts w:ascii="Times New Roman" w:hAnsi="Times New Roman" w:cs="Times New Roman"/>
          <w:sz w:val="22"/>
          <w:szCs w:val="22"/>
        </w:rPr>
        <w:t xml:space="preserve"> în configurarea fluxurilor de marfă. </w:t>
      </w:r>
      <w:r w:rsidRPr="00B80E2B">
        <w:rPr>
          <w:rFonts w:ascii="Times New Roman" w:hAnsi="Times New Roman" w:cs="Times New Roman"/>
          <w:b/>
          <w:bCs/>
          <w:sz w:val="22"/>
          <w:szCs w:val="22"/>
        </w:rPr>
        <w:t>Poziția geostrategică – 12,50%</w:t>
      </w:r>
      <w:r w:rsidRPr="00B80E2B">
        <w:rPr>
          <w:rFonts w:ascii="Times New Roman" w:hAnsi="Times New Roman" w:cs="Times New Roman"/>
          <w:sz w:val="22"/>
          <w:szCs w:val="22"/>
        </w:rPr>
        <w:t xml:space="preserve"> (vecinătatea Ucrainei și accesul la porturi maritime) este menționată ca factor structural, cu potențial de conectare fluvio-maritimă și de integrare în lanțurile regionale. </w:t>
      </w:r>
      <w:r w:rsidRPr="00B80E2B">
        <w:rPr>
          <w:rFonts w:ascii="Times New Roman" w:hAnsi="Times New Roman" w:cs="Times New Roman"/>
          <w:b/>
          <w:bCs/>
          <w:sz w:val="22"/>
          <w:szCs w:val="22"/>
        </w:rPr>
        <w:t>Valorificarea resurselor locale prin optimizarea transportului – 11,76%</w:t>
      </w:r>
      <w:r w:rsidRPr="00B80E2B">
        <w:rPr>
          <w:rFonts w:ascii="Times New Roman" w:hAnsi="Times New Roman" w:cs="Times New Roman"/>
          <w:sz w:val="22"/>
          <w:szCs w:val="22"/>
        </w:rPr>
        <w:t xml:space="preserve"> completează tabloul, reflectând nevoia de mobilitate pentru sectoarele agricol, piscicol și industrial.</w:t>
      </w:r>
    </w:p>
    <w:p w14:paraId="2AC4E078" w14:textId="77777777" w:rsidR="00B80E2B" w:rsidRPr="002E0C1B" w:rsidRDefault="00B80E2B" w:rsidP="002E0C1B">
      <w:pPr>
        <w:pStyle w:val="Smn"/>
        <w:rPr>
          <w:rFonts w:ascii="Times New Roman" w:hAnsi="Times New Roman" w:cs="Times New Roman"/>
          <w:sz w:val="22"/>
          <w:szCs w:val="22"/>
        </w:rPr>
      </w:pPr>
      <w:r w:rsidRPr="00B80E2B">
        <w:rPr>
          <w:rFonts w:ascii="Times New Roman" w:hAnsi="Times New Roman" w:cs="Times New Roman"/>
          <w:sz w:val="22"/>
          <w:szCs w:val="22"/>
        </w:rPr>
        <w:lastRenderedPageBreak/>
        <w:t xml:space="preserve">Procentele sunt </w:t>
      </w:r>
      <w:r w:rsidRPr="00B80E2B">
        <w:rPr>
          <w:rFonts w:ascii="Times New Roman" w:hAnsi="Times New Roman" w:cs="Times New Roman"/>
          <w:b/>
          <w:bCs/>
          <w:sz w:val="22"/>
          <w:szCs w:val="22"/>
        </w:rPr>
        <w:t>apropiate între ele</w:t>
      </w:r>
      <w:r w:rsidRPr="00B80E2B">
        <w:rPr>
          <w:rFonts w:ascii="Times New Roman" w:hAnsi="Times New Roman" w:cs="Times New Roman"/>
          <w:sz w:val="22"/>
          <w:szCs w:val="22"/>
        </w:rPr>
        <w:t xml:space="preserve"> (11,76–20,59%), ceea ce sugerează un set </w:t>
      </w:r>
      <w:r w:rsidRPr="00B80E2B">
        <w:rPr>
          <w:rFonts w:ascii="Times New Roman" w:hAnsi="Times New Roman" w:cs="Times New Roman"/>
          <w:b/>
          <w:bCs/>
          <w:sz w:val="22"/>
          <w:szCs w:val="22"/>
        </w:rPr>
        <w:t>diversificat</w:t>
      </w:r>
      <w:r w:rsidRPr="00B80E2B">
        <w:rPr>
          <w:rFonts w:ascii="Times New Roman" w:hAnsi="Times New Roman" w:cs="Times New Roman"/>
          <w:sz w:val="22"/>
          <w:szCs w:val="22"/>
        </w:rPr>
        <w:t xml:space="preserve"> de oportunități, în care turismul, finanțarea verde și funcția portuar-dunăreană se susțin reciproc în modelarea dezvoltării transporturilor din județul Tulcea.</w:t>
      </w:r>
    </w:p>
    <w:p w14:paraId="32BAB8BB" w14:textId="75CEE1CD" w:rsidR="00B80E2B" w:rsidRPr="002E0C1B" w:rsidRDefault="00B80E2B" w:rsidP="002E0C1B">
      <w:pPr>
        <w:spacing w:before="120" w:after="120" w:line="240" w:lineRule="auto"/>
        <w:jc w:val="both"/>
        <w:rPr>
          <w:rFonts w:ascii="Times New Roman" w:eastAsia="Times New Roman" w:hAnsi="Times New Roman" w:cs="Times New Roman"/>
          <w:b/>
          <w:bCs/>
          <w:color w:val="000000"/>
          <w:kern w:val="0"/>
          <w:lang w:eastAsia="en-GB"/>
          <w14:ligatures w14:val="none"/>
        </w:rPr>
      </w:pPr>
      <w:r w:rsidRPr="002E0C1B">
        <w:rPr>
          <w:rFonts w:ascii="Times New Roman" w:eastAsia="Times New Roman" w:hAnsi="Times New Roman" w:cs="Times New Roman"/>
          <w:b/>
          <w:bCs/>
          <w:color w:val="000000"/>
          <w:kern w:val="0"/>
          <w:lang w:eastAsia="en-GB"/>
          <w14:ligatures w14:val="none"/>
        </w:rPr>
        <w:t xml:space="preserve">9. </w:t>
      </w:r>
      <w:r w:rsidRPr="00B80E2B">
        <w:rPr>
          <w:rFonts w:ascii="Times New Roman" w:eastAsia="Times New Roman" w:hAnsi="Times New Roman" w:cs="Times New Roman"/>
          <w:b/>
          <w:bCs/>
          <w:color w:val="000000"/>
          <w:kern w:val="0"/>
          <w:lang w:eastAsia="en-GB"/>
          <w14:ligatures w14:val="none"/>
        </w:rPr>
        <w:t>Ce potențial considerați că are județul Tulcea pentru dezvoltarea unui nod regional de transport integrat (aerian, naval, feroviar, rutier)? 1 = foarte redus, 5 = foarte ridicat</w:t>
      </w:r>
    </w:p>
    <w:p w14:paraId="00B91CBC" w14:textId="5D5806AD" w:rsidR="00B80E2B" w:rsidRPr="00B80E2B" w:rsidRDefault="00B80E2B" w:rsidP="002E0C1B">
      <w:pPr>
        <w:pStyle w:val="Smn"/>
        <w:rPr>
          <w:rFonts w:ascii="Times New Roman" w:hAnsi="Times New Roman" w:cs="Times New Roman"/>
          <w:sz w:val="22"/>
          <w:szCs w:val="22"/>
        </w:rPr>
      </w:pPr>
      <w:r w:rsidRPr="002E0C1B">
        <w:rPr>
          <w:rFonts w:ascii="Times New Roman" w:hAnsi="Times New Roman" w:cs="Times New Roman"/>
          <w:noProof/>
          <w:color w:val="FFFFFF" w:themeColor="background1"/>
          <w:sz w:val="22"/>
          <w:szCs w:val="22"/>
          <w:lang w:eastAsia="ro-RO"/>
        </w:rPr>
        <w:drawing>
          <wp:inline distT="0" distB="0" distL="0" distR="0" wp14:anchorId="1505071F" wp14:editId="3D9736E7">
            <wp:extent cx="5934075" cy="1581150"/>
            <wp:effectExtent l="0" t="0" r="0" b="0"/>
            <wp:docPr id="193884163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56011A-7221-5252-1B4C-2E47BE00F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A2CA9E" w14:textId="37E9B452" w:rsidR="00B80E2B" w:rsidRPr="002E0C1B" w:rsidRDefault="00B80E2B" w:rsidP="002E0C1B">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9</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sidR="002F769C">
        <w:rPr>
          <w:rFonts w:ascii="Times New Roman" w:hAnsi="Times New Roman" w:cs="Times New Roman"/>
          <w:b/>
          <w:bCs/>
        </w:rPr>
        <w:t>Potențialul</w:t>
      </w:r>
      <w:r w:rsidRPr="002E0C1B">
        <w:rPr>
          <w:rFonts w:ascii="Times New Roman" w:hAnsi="Times New Roman" w:cs="Times New Roman"/>
          <w:b/>
          <w:bCs/>
        </w:rPr>
        <w:t xml:space="preserve"> județul</w:t>
      </w:r>
      <w:r w:rsidR="002F769C">
        <w:rPr>
          <w:rFonts w:ascii="Times New Roman" w:hAnsi="Times New Roman" w:cs="Times New Roman"/>
          <w:b/>
          <w:bCs/>
        </w:rPr>
        <w:t>ui</w:t>
      </w:r>
      <w:r w:rsidRPr="002E0C1B">
        <w:rPr>
          <w:rFonts w:ascii="Times New Roman" w:hAnsi="Times New Roman" w:cs="Times New Roman"/>
          <w:b/>
          <w:bCs/>
        </w:rPr>
        <w:t xml:space="preserve"> Tulcea</w:t>
      </w:r>
      <w:r w:rsidR="002F769C" w:rsidRPr="002F769C">
        <w:t xml:space="preserve"> </w:t>
      </w:r>
      <w:r w:rsidR="002F769C" w:rsidRPr="002F769C">
        <w:rPr>
          <w:rFonts w:ascii="Times New Roman" w:hAnsi="Times New Roman" w:cs="Times New Roman"/>
          <w:b/>
          <w:bCs/>
        </w:rPr>
        <w:t>pentru dezvoltarea unui nod regional de transport integrat (aerian, naval, feroviar, rutier)</w:t>
      </w:r>
    </w:p>
    <w:p w14:paraId="4443C13A" w14:textId="77777777" w:rsidR="00B80E2B" w:rsidRPr="002E0C1B" w:rsidRDefault="00B80E2B" w:rsidP="002E0C1B">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28A59776" w14:textId="0ADD320F" w:rsidR="001A26D1" w:rsidRPr="001A26D1" w:rsidRDefault="001A26D1" w:rsidP="002E0C1B">
      <w:pPr>
        <w:pStyle w:val="Smn"/>
        <w:rPr>
          <w:rFonts w:ascii="Times New Roman" w:hAnsi="Times New Roman" w:cs="Times New Roman"/>
          <w:spacing w:val="-2"/>
          <w:sz w:val="22"/>
          <w:szCs w:val="22"/>
        </w:rPr>
      </w:pPr>
      <w:r w:rsidRPr="001A26D1">
        <w:rPr>
          <w:rFonts w:ascii="Times New Roman" w:hAnsi="Times New Roman" w:cs="Times New Roman"/>
          <w:spacing w:val="-2"/>
          <w:sz w:val="22"/>
          <w:szCs w:val="22"/>
        </w:rPr>
        <w:t xml:space="preserve">Distribuția răspunsurilor este </w:t>
      </w:r>
      <w:r w:rsidRPr="001A26D1">
        <w:rPr>
          <w:rFonts w:ascii="Times New Roman" w:hAnsi="Times New Roman" w:cs="Times New Roman"/>
          <w:b/>
          <w:bCs/>
          <w:spacing w:val="-2"/>
          <w:sz w:val="22"/>
          <w:szCs w:val="22"/>
        </w:rPr>
        <w:t xml:space="preserve">pronunțat orientată către </w:t>
      </w:r>
      <w:r w:rsidR="002F769C" w:rsidRPr="00E477D6">
        <w:rPr>
          <w:rFonts w:ascii="Times New Roman" w:hAnsi="Times New Roman" w:cs="Times New Roman"/>
          <w:b/>
          <w:bCs/>
          <w:spacing w:val="-2"/>
          <w:sz w:val="22"/>
          <w:szCs w:val="22"/>
        </w:rPr>
        <w:t>un potențial foarte ridicat al județului Tulcea pentru dezvoltarea unui nod regional de transport integrat</w:t>
      </w:r>
      <w:r w:rsidRPr="001A26D1">
        <w:rPr>
          <w:rFonts w:ascii="Times New Roman" w:hAnsi="Times New Roman" w:cs="Times New Roman"/>
          <w:spacing w:val="-2"/>
          <w:sz w:val="22"/>
          <w:szCs w:val="22"/>
        </w:rPr>
        <w:t xml:space="preserve"> </w:t>
      </w:r>
      <w:r w:rsidR="00D9722D" w:rsidRPr="00E477D6">
        <w:rPr>
          <w:rFonts w:ascii="Times New Roman" w:hAnsi="Times New Roman" w:cs="Times New Roman"/>
          <w:spacing w:val="-2"/>
          <w:sz w:val="22"/>
          <w:szCs w:val="22"/>
        </w:rPr>
        <w:t xml:space="preserve">- </w:t>
      </w:r>
      <w:r w:rsidRPr="001A26D1">
        <w:rPr>
          <w:rFonts w:ascii="Times New Roman" w:hAnsi="Times New Roman" w:cs="Times New Roman"/>
          <w:spacing w:val="-2"/>
          <w:sz w:val="22"/>
          <w:szCs w:val="22"/>
        </w:rPr>
        <w:t>64,52%</w:t>
      </w:r>
      <w:r w:rsidR="002F769C" w:rsidRPr="00E477D6">
        <w:rPr>
          <w:rFonts w:ascii="Times New Roman" w:hAnsi="Times New Roman" w:cs="Times New Roman"/>
          <w:spacing w:val="-2"/>
          <w:sz w:val="22"/>
          <w:szCs w:val="22"/>
        </w:rPr>
        <w:t xml:space="preserve"> din respondenți </w:t>
      </w:r>
      <w:r w:rsidR="003940F3" w:rsidRPr="00E477D6">
        <w:rPr>
          <w:rFonts w:ascii="Times New Roman" w:hAnsi="Times New Roman" w:cs="Times New Roman"/>
          <w:spacing w:val="-2"/>
          <w:sz w:val="22"/>
          <w:szCs w:val="22"/>
        </w:rPr>
        <w:t>consideră că județul Tulcea are un potențial foarte ridicat (5</w:t>
      </w:r>
      <w:r w:rsidR="00D9722D" w:rsidRPr="00E477D6">
        <w:rPr>
          <w:rFonts w:ascii="Times New Roman" w:hAnsi="Times New Roman" w:cs="Times New Roman"/>
          <w:spacing w:val="-2"/>
          <w:sz w:val="22"/>
          <w:szCs w:val="22"/>
        </w:rPr>
        <w:t xml:space="preserve"> = potențial foarte ridicat</w:t>
      </w:r>
      <w:r w:rsidR="003940F3" w:rsidRPr="00E477D6">
        <w:rPr>
          <w:rFonts w:ascii="Times New Roman" w:hAnsi="Times New Roman" w:cs="Times New Roman"/>
          <w:spacing w:val="-2"/>
          <w:sz w:val="22"/>
          <w:szCs w:val="22"/>
        </w:rPr>
        <w:t>)</w:t>
      </w:r>
      <w:r w:rsidRPr="001A26D1">
        <w:rPr>
          <w:rFonts w:ascii="Times New Roman" w:hAnsi="Times New Roman" w:cs="Times New Roman"/>
          <w:spacing w:val="-2"/>
          <w:sz w:val="22"/>
          <w:szCs w:val="22"/>
        </w:rPr>
        <w:t xml:space="preserve">, iar </w:t>
      </w:r>
      <w:r w:rsidR="003940F3" w:rsidRPr="00E477D6">
        <w:rPr>
          <w:rFonts w:ascii="Times New Roman" w:hAnsi="Times New Roman" w:cs="Times New Roman"/>
          <w:spacing w:val="-2"/>
          <w:sz w:val="22"/>
          <w:szCs w:val="22"/>
        </w:rPr>
        <w:t>16,13% consideră că judeţulare un potențial ridicat (4</w:t>
      </w:r>
      <w:r w:rsidR="00D9722D" w:rsidRPr="00E477D6">
        <w:rPr>
          <w:rFonts w:ascii="Times New Roman" w:hAnsi="Times New Roman" w:cs="Times New Roman"/>
          <w:spacing w:val="-2"/>
          <w:sz w:val="22"/>
          <w:szCs w:val="22"/>
        </w:rPr>
        <w:t xml:space="preserve"> = potențial ridicat</w:t>
      </w:r>
      <w:r w:rsidR="003940F3" w:rsidRPr="00E477D6">
        <w:rPr>
          <w:rFonts w:ascii="Times New Roman" w:hAnsi="Times New Roman" w:cs="Times New Roman"/>
          <w:spacing w:val="-2"/>
          <w:sz w:val="22"/>
          <w:szCs w:val="22"/>
        </w:rPr>
        <w:t xml:space="preserve">), ambele categorii reunind </w:t>
      </w:r>
      <w:r w:rsidRPr="001A26D1">
        <w:rPr>
          <w:rFonts w:ascii="Times New Roman" w:hAnsi="Times New Roman" w:cs="Times New Roman"/>
          <w:b/>
          <w:bCs/>
          <w:spacing w:val="-2"/>
          <w:sz w:val="22"/>
          <w:szCs w:val="22"/>
        </w:rPr>
        <w:t>80,65%</w:t>
      </w:r>
      <w:r w:rsidRPr="001A26D1">
        <w:rPr>
          <w:rFonts w:ascii="Times New Roman" w:hAnsi="Times New Roman" w:cs="Times New Roman"/>
          <w:spacing w:val="-2"/>
          <w:sz w:val="22"/>
          <w:szCs w:val="22"/>
        </w:rPr>
        <w:t xml:space="preserve"> din </w:t>
      </w:r>
      <w:r w:rsidR="00D9722D" w:rsidRPr="00E477D6">
        <w:rPr>
          <w:rFonts w:ascii="Times New Roman" w:hAnsi="Times New Roman" w:cs="Times New Roman"/>
          <w:spacing w:val="-2"/>
          <w:sz w:val="22"/>
          <w:szCs w:val="22"/>
        </w:rPr>
        <w:t xml:space="preserve">totalul </w:t>
      </w:r>
      <w:r w:rsidRPr="001A26D1">
        <w:rPr>
          <w:rFonts w:ascii="Times New Roman" w:hAnsi="Times New Roman" w:cs="Times New Roman"/>
          <w:spacing w:val="-2"/>
          <w:sz w:val="22"/>
          <w:szCs w:val="22"/>
        </w:rPr>
        <w:t>răspunsuri</w:t>
      </w:r>
      <w:r w:rsidR="00D9722D" w:rsidRPr="00E477D6">
        <w:rPr>
          <w:rFonts w:ascii="Times New Roman" w:hAnsi="Times New Roman" w:cs="Times New Roman"/>
          <w:spacing w:val="-2"/>
          <w:sz w:val="22"/>
          <w:szCs w:val="22"/>
        </w:rPr>
        <w:t>lor acordate</w:t>
      </w:r>
      <w:r w:rsidRPr="001A26D1">
        <w:rPr>
          <w:rFonts w:ascii="Times New Roman" w:hAnsi="Times New Roman" w:cs="Times New Roman"/>
          <w:spacing w:val="-2"/>
          <w:sz w:val="22"/>
          <w:szCs w:val="22"/>
        </w:rPr>
        <w:t xml:space="preserve">. </w:t>
      </w:r>
      <w:r w:rsidRPr="001A26D1">
        <w:rPr>
          <w:rFonts w:ascii="Times New Roman" w:hAnsi="Times New Roman" w:cs="Times New Roman"/>
          <w:b/>
          <w:bCs/>
          <w:spacing w:val="-2"/>
          <w:sz w:val="22"/>
          <w:szCs w:val="22"/>
        </w:rPr>
        <w:t>12,90%</w:t>
      </w:r>
      <w:r w:rsidR="00D9722D" w:rsidRPr="00E477D6">
        <w:rPr>
          <w:rFonts w:ascii="Times New Roman" w:hAnsi="Times New Roman" w:cs="Times New Roman"/>
          <w:spacing w:val="-2"/>
          <w:sz w:val="22"/>
          <w:szCs w:val="22"/>
        </w:rPr>
        <w:t xml:space="preserve"> din respondenți mențin o atitudine neutră (</w:t>
      </w:r>
      <w:r w:rsidR="006D6AEF" w:rsidRPr="00E477D6">
        <w:rPr>
          <w:rFonts w:ascii="Times New Roman" w:hAnsi="Times New Roman" w:cs="Times New Roman"/>
          <w:spacing w:val="-2"/>
          <w:sz w:val="22"/>
          <w:szCs w:val="22"/>
        </w:rPr>
        <w:t xml:space="preserve">plasând potențialul pe scala la </w:t>
      </w:r>
      <w:r w:rsidR="00D9722D" w:rsidRPr="00E477D6">
        <w:rPr>
          <w:rFonts w:ascii="Times New Roman" w:hAnsi="Times New Roman" w:cs="Times New Roman"/>
          <w:spacing w:val="-2"/>
          <w:sz w:val="22"/>
          <w:szCs w:val="22"/>
        </w:rPr>
        <w:t>3)</w:t>
      </w:r>
      <w:r w:rsidR="006D6AEF" w:rsidRPr="00E477D6">
        <w:rPr>
          <w:rFonts w:ascii="Times New Roman" w:hAnsi="Times New Roman" w:cs="Times New Roman"/>
          <w:spacing w:val="-2"/>
          <w:sz w:val="22"/>
          <w:szCs w:val="22"/>
        </w:rPr>
        <w:t>,</w:t>
      </w:r>
      <w:r w:rsidRPr="001A26D1">
        <w:rPr>
          <w:rFonts w:ascii="Times New Roman" w:hAnsi="Times New Roman" w:cs="Times New Roman"/>
          <w:spacing w:val="-2"/>
          <w:sz w:val="22"/>
          <w:szCs w:val="22"/>
        </w:rPr>
        <w:t xml:space="preserve"> iar extremele inferioare </w:t>
      </w:r>
      <w:r w:rsidRPr="001A26D1">
        <w:rPr>
          <w:rFonts w:ascii="Times New Roman" w:hAnsi="Times New Roman" w:cs="Times New Roman"/>
          <w:b/>
          <w:bCs/>
          <w:spacing w:val="-2"/>
          <w:sz w:val="22"/>
          <w:szCs w:val="22"/>
        </w:rPr>
        <w:t>1–2</w:t>
      </w:r>
      <w:r w:rsidRPr="001A26D1">
        <w:rPr>
          <w:rFonts w:ascii="Times New Roman" w:hAnsi="Times New Roman" w:cs="Times New Roman"/>
          <w:spacing w:val="-2"/>
          <w:sz w:val="22"/>
          <w:szCs w:val="22"/>
        </w:rPr>
        <w:t xml:space="preserve"> însumează doar </w:t>
      </w:r>
      <w:r w:rsidRPr="001A26D1">
        <w:rPr>
          <w:rFonts w:ascii="Times New Roman" w:hAnsi="Times New Roman" w:cs="Times New Roman"/>
          <w:b/>
          <w:bCs/>
          <w:spacing w:val="-2"/>
          <w:sz w:val="22"/>
          <w:szCs w:val="22"/>
        </w:rPr>
        <w:t>6,46%</w:t>
      </w:r>
      <w:r w:rsidR="006D6AEF" w:rsidRPr="00E477D6">
        <w:rPr>
          <w:rFonts w:ascii="Times New Roman" w:hAnsi="Times New Roman" w:cs="Times New Roman"/>
          <w:b/>
          <w:bCs/>
          <w:spacing w:val="-2"/>
          <w:sz w:val="22"/>
          <w:szCs w:val="22"/>
        </w:rPr>
        <w:t xml:space="preserve"> </w:t>
      </w:r>
      <w:r w:rsidR="006D6AEF" w:rsidRPr="00E477D6">
        <w:rPr>
          <w:rFonts w:ascii="Times New Roman" w:hAnsi="Times New Roman" w:cs="Times New Roman"/>
          <w:spacing w:val="-2"/>
          <w:sz w:val="22"/>
          <w:szCs w:val="22"/>
        </w:rPr>
        <w:t>din totalul răspunsurilor</w:t>
      </w:r>
      <w:r w:rsidRPr="001A26D1">
        <w:rPr>
          <w:rFonts w:ascii="Times New Roman" w:hAnsi="Times New Roman" w:cs="Times New Roman"/>
          <w:spacing w:val="-2"/>
          <w:sz w:val="22"/>
          <w:szCs w:val="22"/>
        </w:rPr>
        <w:t xml:space="preserve">. </w:t>
      </w:r>
      <w:r w:rsidR="006D6AEF" w:rsidRPr="00E477D6">
        <w:rPr>
          <w:rFonts w:ascii="Times New Roman" w:hAnsi="Times New Roman" w:cs="Times New Roman"/>
          <w:spacing w:val="-2"/>
          <w:sz w:val="22"/>
          <w:szCs w:val="22"/>
        </w:rPr>
        <w:t>Per total, r</w:t>
      </w:r>
      <w:r w:rsidRPr="001A26D1">
        <w:rPr>
          <w:rFonts w:ascii="Times New Roman" w:hAnsi="Times New Roman" w:cs="Times New Roman"/>
          <w:spacing w:val="-2"/>
          <w:sz w:val="22"/>
          <w:szCs w:val="22"/>
        </w:rPr>
        <w:t xml:space="preserve">ezultă o </w:t>
      </w:r>
      <w:r w:rsidRPr="001A26D1">
        <w:rPr>
          <w:rFonts w:ascii="Times New Roman" w:hAnsi="Times New Roman" w:cs="Times New Roman"/>
          <w:b/>
          <w:bCs/>
          <w:spacing w:val="-2"/>
          <w:sz w:val="22"/>
          <w:szCs w:val="22"/>
        </w:rPr>
        <w:t>medie aproximativă de 4,36/5</w:t>
      </w:r>
      <w:r w:rsidRPr="001A26D1">
        <w:rPr>
          <w:rFonts w:ascii="Times New Roman" w:hAnsi="Times New Roman" w:cs="Times New Roman"/>
          <w:spacing w:val="-2"/>
          <w:sz w:val="22"/>
          <w:szCs w:val="22"/>
        </w:rPr>
        <w:t xml:space="preserve">, ceea ce indică o percepție predominant favorabilă privind potențialul </w:t>
      </w:r>
      <w:r w:rsidR="006D6AEF" w:rsidRPr="00E477D6">
        <w:rPr>
          <w:rFonts w:ascii="Times New Roman" w:hAnsi="Times New Roman" w:cs="Times New Roman"/>
          <w:spacing w:val="-2"/>
          <w:sz w:val="22"/>
          <w:szCs w:val="22"/>
        </w:rPr>
        <w:t>județului de a se transforma într-un</w:t>
      </w:r>
      <w:r w:rsidRPr="001A26D1">
        <w:rPr>
          <w:rFonts w:ascii="Times New Roman" w:hAnsi="Times New Roman" w:cs="Times New Roman"/>
          <w:spacing w:val="-2"/>
          <w:sz w:val="22"/>
          <w:szCs w:val="22"/>
        </w:rPr>
        <w:t xml:space="preserve"> nod regional de transport integrat.</w:t>
      </w:r>
      <w:r w:rsidR="00E477D6" w:rsidRPr="00E477D6">
        <w:rPr>
          <w:rFonts w:ascii="Times New Roman" w:hAnsi="Times New Roman" w:cs="Times New Roman"/>
          <w:spacing w:val="-2"/>
          <w:sz w:val="22"/>
          <w:szCs w:val="22"/>
        </w:rPr>
        <w:t xml:space="preserve"> </w:t>
      </w:r>
      <w:r w:rsidRPr="001A26D1">
        <w:rPr>
          <w:rFonts w:ascii="Times New Roman" w:hAnsi="Times New Roman" w:cs="Times New Roman"/>
          <w:spacing w:val="-2"/>
          <w:sz w:val="22"/>
          <w:szCs w:val="22"/>
        </w:rPr>
        <w:t xml:space="preserve">În ansamblu, respondenții anticipează că </w:t>
      </w:r>
      <w:r w:rsidRPr="001A26D1">
        <w:rPr>
          <w:rFonts w:ascii="Times New Roman" w:hAnsi="Times New Roman" w:cs="Times New Roman"/>
          <w:b/>
          <w:bCs/>
          <w:spacing w:val="-2"/>
          <w:sz w:val="22"/>
          <w:szCs w:val="22"/>
        </w:rPr>
        <w:t>platforma fluvio-maritimă</w:t>
      </w:r>
      <w:r w:rsidRPr="001A26D1">
        <w:rPr>
          <w:rFonts w:ascii="Times New Roman" w:hAnsi="Times New Roman" w:cs="Times New Roman"/>
          <w:spacing w:val="-2"/>
          <w:sz w:val="22"/>
          <w:szCs w:val="22"/>
        </w:rPr>
        <w:t xml:space="preserve">, coridoarele rutiere de legătură și </w:t>
      </w:r>
      <w:r w:rsidRPr="001A26D1">
        <w:rPr>
          <w:rFonts w:ascii="Times New Roman" w:hAnsi="Times New Roman" w:cs="Times New Roman"/>
          <w:b/>
          <w:bCs/>
          <w:spacing w:val="-2"/>
          <w:sz w:val="22"/>
          <w:szCs w:val="22"/>
        </w:rPr>
        <w:t>posibilitățile de intermodalitate</w:t>
      </w:r>
      <w:r w:rsidRPr="001A26D1">
        <w:rPr>
          <w:rFonts w:ascii="Times New Roman" w:hAnsi="Times New Roman" w:cs="Times New Roman"/>
          <w:spacing w:val="-2"/>
          <w:sz w:val="22"/>
          <w:szCs w:val="22"/>
        </w:rPr>
        <w:t xml:space="preserve"> pot susține configurarea unui nod regional.</w:t>
      </w:r>
    </w:p>
    <w:p w14:paraId="20BB1153" w14:textId="601F336B" w:rsidR="00522C44" w:rsidRPr="00E477D6" w:rsidRDefault="00E477D6" w:rsidP="00E477D6">
      <w:pPr>
        <w:pStyle w:val="Smn"/>
        <w:rPr>
          <w:rFonts w:ascii="Times New Roman" w:hAnsi="Times New Roman" w:cs="Times New Roman"/>
          <w:b/>
          <w:bCs/>
          <w:sz w:val="22"/>
          <w:szCs w:val="22"/>
        </w:rPr>
      </w:pPr>
      <w:r w:rsidRPr="002E0C1B">
        <w:rPr>
          <w:rFonts w:ascii="Times New Roman" w:hAnsi="Times New Roman" w:cs="Times New Roman"/>
          <w:noProof/>
          <w:sz w:val="22"/>
          <w:szCs w:val="22"/>
          <w:lang w:eastAsia="ro-RO"/>
        </w:rPr>
        <w:drawing>
          <wp:anchor distT="0" distB="0" distL="114300" distR="114300" simplePos="0" relativeHeight="251745280" behindDoc="0" locked="0" layoutInCell="1" allowOverlap="1" wp14:anchorId="0ED1A53B" wp14:editId="5E9CA782">
            <wp:simplePos x="0" y="0"/>
            <wp:positionH relativeFrom="column">
              <wp:posOffset>0</wp:posOffset>
            </wp:positionH>
            <wp:positionV relativeFrom="paragraph">
              <wp:posOffset>394335</wp:posOffset>
            </wp:positionV>
            <wp:extent cx="5934075" cy="1895475"/>
            <wp:effectExtent l="0" t="0" r="0" b="0"/>
            <wp:wrapSquare wrapText="bothSides"/>
            <wp:docPr id="52931965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032354-23F8-0BE3-E7F7-2B45CF953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522C44" w:rsidRPr="002E0C1B">
        <w:rPr>
          <w:rFonts w:ascii="Times New Roman" w:hAnsi="Times New Roman" w:cs="Times New Roman"/>
          <w:b/>
          <w:bCs/>
          <w:sz w:val="22"/>
          <w:szCs w:val="22"/>
        </w:rPr>
        <w:t>10. În opinia dumneavoastră, cât de bine este valorificată poziționarea geografică a județului Tulcea (Delta Dunării, Marea Neagră, granița cu Ucraina) în dezvoltarea transporturilor?</w:t>
      </w:r>
    </w:p>
    <w:p w14:paraId="4D6CECD9" w14:textId="0959C137" w:rsidR="00E477D6" w:rsidRPr="002E0C1B" w:rsidRDefault="00E477D6" w:rsidP="00E477D6">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10</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sidR="00EE772E">
        <w:rPr>
          <w:rFonts w:ascii="Times New Roman" w:hAnsi="Times New Roman" w:cs="Times New Roman"/>
          <w:b/>
          <w:bCs/>
        </w:rPr>
        <w:t xml:space="preserve">Gradul de </w:t>
      </w:r>
      <w:r w:rsidR="00EE772E" w:rsidRPr="00EE772E">
        <w:rPr>
          <w:rFonts w:ascii="Times New Roman" w:hAnsi="Times New Roman" w:cs="Times New Roman"/>
          <w:b/>
          <w:bCs/>
        </w:rPr>
        <w:t>valorifica</w:t>
      </w:r>
      <w:r w:rsidR="00EE772E">
        <w:rPr>
          <w:rFonts w:ascii="Times New Roman" w:hAnsi="Times New Roman" w:cs="Times New Roman"/>
          <w:b/>
          <w:bCs/>
        </w:rPr>
        <w:t>re a</w:t>
      </w:r>
      <w:r w:rsidR="00EE772E" w:rsidRPr="00EE772E">
        <w:rPr>
          <w:rFonts w:ascii="Times New Roman" w:hAnsi="Times New Roman" w:cs="Times New Roman"/>
          <w:b/>
          <w:bCs/>
        </w:rPr>
        <w:t xml:space="preserve"> pozițion</w:t>
      </w:r>
      <w:r w:rsidR="00EE772E">
        <w:rPr>
          <w:rFonts w:ascii="Times New Roman" w:hAnsi="Times New Roman" w:cs="Times New Roman"/>
          <w:b/>
          <w:bCs/>
        </w:rPr>
        <w:t>ării</w:t>
      </w:r>
      <w:r w:rsidR="00EE772E" w:rsidRPr="00EE772E">
        <w:rPr>
          <w:rFonts w:ascii="Times New Roman" w:hAnsi="Times New Roman" w:cs="Times New Roman"/>
          <w:b/>
          <w:bCs/>
        </w:rPr>
        <w:t xml:space="preserve"> geografic</w:t>
      </w:r>
      <w:r w:rsidR="00EE772E">
        <w:rPr>
          <w:rFonts w:ascii="Times New Roman" w:hAnsi="Times New Roman" w:cs="Times New Roman"/>
          <w:b/>
          <w:bCs/>
        </w:rPr>
        <w:t>e</w:t>
      </w:r>
      <w:r w:rsidR="00EE772E" w:rsidRPr="00EE772E">
        <w:rPr>
          <w:rFonts w:ascii="Times New Roman" w:hAnsi="Times New Roman" w:cs="Times New Roman"/>
          <w:b/>
          <w:bCs/>
        </w:rPr>
        <w:t xml:space="preserve"> a județului Tulcea (Delta Dunării, Marea Neagră, granița cu Ucraina) în dezvoltarea transporturilor</w:t>
      </w:r>
    </w:p>
    <w:p w14:paraId="66C716FF" w14:textId="77777777" w:rsidR="00E477D6" w:rsidRPr="002E0C1B" w:rsidRDefault="00E477D6" w:rsidP="00E477D6">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279AED29" w14:textId="77777777" w:rsidR="005B4778" w:rsidRPr="005B4778" w:rsidRDefault="005B4778" w:rsidP="002E0C1B">
      <w:pPr>
        <w:pStyle w:val="Smn"/>
        <w:rPr>
          <w:rFonts w:ascii="Times New Roman" w:eastAsia="Times New Roman" w:hAnsi="Times New Roman" w:cs="Times New Roman"/>
          <w:color w:val="333333"/>
          <w:kern w:val="0"/>
          <w:sz w:val="22"/>
          <w:szCs w:val="22"/>
          <w:lang w:eastAsia="en-GB"/>
          <w14:ligatures w14:val="none"/>
        </w:rPr>
      </w:pPr>
      <w:r w:rsidRPr="005B4778">
        <w:rPr>
          <w:rFonts w:ascii="Times New Roman" w:eastAsia="Times New Roman" w:hAnsi="Times New Roman" w:cs="Times New Roman"/>
          <w:color w:val="333333"/>
          <w:kern w:val="0"/>
          <w:sz w:val="22"/>
          <w:szCs w:val="22"/>
          <w:lang w:eastAsia="en-GB"/>
          <w14:ligatures w14:val="none"/>
        </w:rPr>
        <w:lastRenderedPageBreak/>
        <w:t xml:space="preserve">Distribuția răspunsurilor indică o percepție predominant critică: </w:t>
      </w:r>
      <w:r w:rsidRPr="005B4778">
        <w:rPr>
          <w:rFonts w:ascii="Times New Roman" w:eastAsia="Times New Roman" w:hAnsi="Times New Roman" w:cs="Times New Roman"/>
          <w:b/>
          <w:bCs/>
          <w:color w:val="333333"/>
          <w:kern w:val="0"/>
          <w:sz w:val="22"/>
          <w:szCs w:val="22"/>
          <w:lang w:eastAsia="en-GB"/>
          <w14:ligatures w14:val="none"/>
        </w:rPr>
        <w:t>54,84%</w:t>
      </w:r>
      <w:r w:rsidRPr="005B4778">
        <w:rPr>
          <w:rFonts w:ascii="Times New Roman" w:eastAsia="Times New Roman" w:hAnsi="Times New Roman" w:cs="Times New Roman"/>
          <w:color w:val="333333"/>
          <w:kern w:val="0"/>
          <w:sz w:val="22"/>
          <w:szCs w:val="22"/>
          <w:lang w:eastAsia="en-GB"/>
          <w14:ligatures w14:val="none"/>
        </w:rPr>
        <w:t xml:space="preserve"> apreciază că poziționarea geografică este </w:t>
      </w:r>
      <w:r w:rsidRPr="005B4778">
        <w:rPr>
          <w:rFonts w:ascii="Times New Roman" w:eastAsia="Times New Roman" w:hAnsi="Times New Roman" w:cs="Times New Roman"/>
          <w:b/>
          <w:bCs/>
          <w:color w:val="333333"/>
          <w:kern w:val="0"/>
          <w:sz w:val="22"/>
          <w:szCs w:val="22"/>
          <w:lang w:eastAsia="en-GB"/>
          <w14:ligatures w14:val="none"/>
        </w:rPr>
        <w:t>foarte puțin valorificată</w:t>
      </w:r>
      <w:r w:rsidRPr="005B4778">
        <w:rPr>
          <w:rFonts w:ascii="Times New Roman" w:eastAsia="Times New Roman" w:hAnsi="Times New Roman" w:cs="Times New Roman"/>
          <w:color w:val="333333"/>
          <w:kern w:val="0"/>
          <w:sz w:val="22"/>
          <w:szCs w:val="22"/>
          <w:lang w:eastAsia="en-GB"/>
          <w14:ligatures w14:val="none"/>
        </w:rPr>
        <w:t xml:space="preserve">. Evaluările pozitive sunt limitate: </w:t>
      </w:r>
      <w:r w:rsidRPr="005B4778">
        <w:rPr>
          <w:rFonts w:ascii="Times New Roman" w:eastAsia="Times New Roman" w:hAnsi="Times New Roman" w:cs="Times New Roman"/>
          <w:b/>
          <w:bCs/>
          <w:color w:val="333333"/>
          <w:kern w:val="0"/>
          <w:sz w:val="22"/>
          <w:szCs w:val="22"/>
          <w:lang w:eastAsia="en-GB"/>
          <w14:ligatures w14:val="none"/>
        </w:rPr>
        <w:t>19,35%</w:t>
      </w:r>
      <w:r w:rsidRPr="005B4778">
        <w:rPr>
          <w:rFonts w:ascii="Times New Roman" w:eastAsia="Times New Roman" w:hAnsi="Times New Roman" w:cs="Times New Roman"/>
          <w:color w:val="333333"/>
          <w:kern w:val="0"/>
          <w:sz w:val="22"/>
          <w:szCs w:val="22"/>
          <w:lang w:eastAsia="en-GB"/>
          <w14:ligatures w14:val="none"/>
        </w:rPr>
        <w:t xml:space="preserve"> o consideră </w:t>
      </w:r>
      <w:r w:rsidRPr="005B4778">
        <w:rPr>
          <w:rFonts w:ascii="Times New Roman" w:eastAsia="Times New Roman" w:hAnsi="Times New Roman" w:cs="Times New Roman"/>
          <w:b/>
          <w:bCs/>
          <w:color w:val="333333"/>
          <w:kern w:val="0"/>
          <w:sz w:val="22"/>
          <w:szCs w:val="22"/>
          <w:lang w:eastAsia="en-GB"/>
          <w14:ligatures w14:val="none"/>
        </w:rPr>
        <w:t>foarte bine</w:t>
      </w:r>
      <w:r w:rsidRPr="005B4778">
        <w:rPr>
          <w:rFonts w:ascii="Times New Roman" w:eastAsia="Times New Roman" w:hAnsi="Times New Roman" w:cs="Times New Roman"/>
          <w:color w:val="333333"/>
          <w:kern w:val="0"/>
          <w:sz w:val="22"/>
          <w:szCs w:val="22"/>
          <w:lang w:eastAsia="en-GB"/>
          <w14:ligatures w14:val="none"/>
        </w:rPr>
        <w:t xml:space="preserve"> valorificată, iar </w:t>
      </w:r>
      <w:r w:rsidRPr="005B4778">
        <w:rPr>
          <w:rFonts w:ascii="Times New Roman" w:eastAsia="Times New Roman" w:hAnsi="Times New Roman" w:cs="Times New Roman"/>
          <w:b/>
          <w:bCs/>
          <w:color w:val="333333"/>
          <w:kern w:val="0"/>
          <w:sz w:val="22"/>
          <w:szCs w:val="22"/>
          <w:lang w:eastAsia="en-GB"/>
          <w14:ligatures w14:val="none"/>
        </w:rPr>
        <w:t>19,35%</w:t>
      </w:r>
      <w:r w:rsidRPr="005B4778">
        <w:rPr>
          <w:rFonts w:ascii="Times New Roman" w:eastAsia="Times New Roman" w:hAnsi="Times New Roman" w:cs="Times New Roman"/>
          <w:color w:val="333333"/>
          <w:kern w:val="0"/>
          <w:sz w:val="22"/>
          <w:szCs w:val="22"/>
          <w:lang w:eastAsia="en-GB"/>
          <w14:ligatures w14:val="none"/>
        </w:rPr>
        <w:t xml:space="preserve"> o văd </w:t>
      </w:r>
      <w:r w:rsidRPr="005B4778">
        <w:rPr>
          <w:rFonts w:ascii="Times New Roman" w:eastAsia="Times New Roman" w:hAnsi="Times New Roman" w:cs="Times New Roman"/>
          <w:b/>
          <w:bCs/>
          <w:color w:val="333333"/>
          <w:kern w:val="0"/>
          <w:sz w:val="22"/>
          <w:szCs w:val="22"/>
          <w:lang w:eastAsia="en-GB"/>
          <w14:ligatures w14:val="none"/>
        </w:rPr>
        <w:t>parțial valorificată</w:t>
      </w:r>
      <w:r w:rsidRPr="005B4778">
        <w:rPr>
          <w:rFonts w:ascii="Times New Roman" w:eastAsia="Times New Roman" w:hAnsi="Times New Roman" w:cs="Times New Roman"/>
          <w:color w:val="333333"/>
          <w:kern w:val="0"/>
          <w:sz w:val="22"/>
          <w:szCs w:val="22"/>
          <w:lang w:eastAsia="en-GB"/>
          <w14:ligatures w14:val="none"/>
        </w:rPr>
        <w:t xml:space="preserve"> (</w:t>
      </w:r>
      <w:r w:rsidRPr="005B4778">
        <w:rPr>
          <w:rFonts w:ascii="Times New Roman" w:eastAsia="Times New Roman" w:hAnsi="Times New Roman" w:cs="Times New Roman"/>
          <w:b/>
          <w:bCs/>
          <w:color w:val="333333"/>
          <w:kern w:val="0"/>
          <w:sz w:val="22"/>
          <w:szCs w:val="22"/>
          <w:lang w:eastAsia="en-GB"/>
          <w14:ligatures w14:val="none"/>
        </w:rPr>
        <w:t>38,70%</w:t>
      </w:r>
      <w:r w:rsidRPr="005B4778">
        <w:rPr>
          <w:rFonts w:ascii="Times New Roman" w:eastAsia="Times New Roman" w:hAnsi="Times New Roman" w:cs="Times New Roman"/>
          <w:color w:val="333333"/>
          <w:kern w:val="0"/>
          <w:sz w:val="22"/>
          <w:szCs w:val="22"/>
          <w:lang w:eastAsia="en-GB"/>
          <w14:ligatures w14:val="none"/>
        </w:rPr>
        <w:t xml:space="preserve"> cumulat). </w:t>
      </w:r>
      <w:r w:rsidRPr="005B4778">
        <w:rPr>
          <w:rFonts w:ascii="Times New Roman" w:eastAsia="Times New Roman" w:hAnsi="Times New Roman" w:cs="Times New Roman"/>
          <w:b/>
          <w:bCs/>
          <w:color w:val="333333"/>
          <w:kern w:val="0"/>
          <w:sz w:val="22"/>
          <w:szCs w:val="22"/>
          <w:lang w:eastAsia="en-GB"/>
          <w14:ligatures w14:val="none"/>
        </w:rPr>
        <w:t>6,45%</w:t>
      </w:r>
      <w:r w:rsidRPr="005B4778">
        <w:rPr>
          <w:rFonts w:ascii="Times New Roman" w:eastAsia="Times New Roman" w:hAnsi="Times New Roman" w:cs="Times New Roman"/>
          <w:color w:val="333333"/>
          <w:kern w:val="0"/>
          <w:sz w:val="22"/>
          <w:szCs w:val="22"/>
          <w:lang w:eastAsia="en-GB"/>
          <w14:ligatures w14:val="none"/>
        </w:rPr>
        <w:t xml:space="preserve"> declară că </w:t>
      </w:r>
      <w:r w:rsidRPr="005B4778">
        <w:rPr>
          <w:rFonts w:ascii="Times New Roman" w:eastAsia="Times New Roman" w:hAnsi="Times New Roman" w:cs="Times New Roman"/>
          <w:b/>
          <w:bCs/>
          <w:color w:val="333333"/>
          <w:kern w:val="0"/>
          <w:sz w:val="22"/>
          <w:szCs w:val="22"/>
          <w:lang w:eastAsia="en-GB"/>
          <w14:ligatures w14:val="none"/>
        </w:rPr>
        <w:t>nu au suficiente informații</w:t>
      </w:r>
      <w:r w:rsidRPr="005B4778">
        <w:rPr>
          <w:rFonts w:ascii="Times New Roman" w:eastAsia="Times New Roman" w:hAnsi="Times New Roman" w:cs="Times New Roman"/>
          <w:color w:val="333333"/>
          <w:kern w:val="0"/>
          <w:sz w:val="22"/>
          <w:szCs w:val="22"/>
          <w:lang w:eastAsia="en-GB"/>
          <w14:ligatures w14:val="none"/>
        </w:rPr>
        <w:t>.</w:t>
      </w:r>
    </w:p>
    <w:p w14:paraId="7D8904D9" w14:textId="77777777" w:rsidR="005B4778" w:rsidRPr="005B4778" w:rsidRDefault="005B4778" w:rsidP="002E0C1B">
      <w:pPr>
        <w:pStyle w:val="Smn"/>
        <w:rPr>
          <w:rFonts w:ascii="Times New Roman" w:eastAsia="Times New Roman" w:hAnsi="Times New Roman" w:cs="Times New Roman"/>
          <w:color w:val="333333"/>
          <w:kern w:val="0"/>
          <w:sz w:val="22"/>
          <w:szCs w:val="22"/>
          <w:lang w:eastAsia="en-GB"/>
          <w14:ligatures w14:val="none"/>
        </w:rPr>
      </w:pPr>
      <w:r w:rsidRPr="005B4778">
        <w:rPr>
          <w:rFonts w:ascii="Times New Roman" w:eastAsia="Times New Roman" w:hAnsi="Times New Roman" w:cs="Times New Roman"/>
          <w:color w:val="333333"/>
          <w:kern w:val="0"/>
          <w:sz w:val="22"/>
          <w:szCs w:val="22"/>
          <w:lang w:eastAsia="en-GB"/>
          <w14:ligatures w14:val="none"/>
        </w:rPr>
        <w:t xml:space="preserve">Rezultatul sugerează că </w:t>
      </w:r>
      <w:r w:rsidRPr="005B4778">
        <w:rPr>
          <w:rFonts w:ascii="Times New Roman" w:eastAsia="Times New Roman" w:hAnsi="Times New Roman" w:cs="Times New Roman"/>
          <w:b/>
          <w:bCs/>
          <w:color w:val="333333"/>
          <w:kern w:val="0"/>
          <w:sz w:val="22"/>
          <w:szCs w:val="22"/>
          <w:lang w:eastAsia="en-GB"/>
          <w14:ligatures w14:val="none"/>
        </w:rPr>
        <w:t>avantajele teritoriale majore</w:t>
      </w:r>
      <w:r w:rsidRPr="005B4778">
        <w:rPr>
          <w:rFonts w:ascii="Times New Roman" w:eastAsia="Times New Roman" w:hAnsi="Times New Roman" w:cs="Times New Roman"/>
          <w:color w:val="333333"/>
          <w:kern w:val="0"/>
          <w:sz w:val="22"/>
          <w:szCs w:val="22"/>
          <w:lang w:eastAsia="en-GB"/>
          <w14:ligatures w14:val="none"/>
        </w:rPr>
        <w:t xml:space="preserve"> ale județului—</w:t>
      </w:r>
      <w:r w:rsidRPr="005B4778">
        <w:rPr>
          <w:rFonts w:ascii="Times New Roman" w:eastAsia="Times New Roman" w:hAnsi="Times New Roman" w:cs="Times New Roman"/>
          <w:b/>
          <w:bCs/>
          <w:color w:val="333333"/>
          <w:kern w:val="0"/>
          <w:sz w:val="22"/>
          <w:szCs w:val="22"/>
          <w:lang w:eastAsia="en-GB"/>
          <w14:ligatures w14:val="none"/>
        </w:rPr>
        <w:t>Delta Dunării, coridorul dunărean și deschiderea la Marea Neagră/ granița estică</w:t>
      </w:r>
      <w:r w:rsidRPr="005B4778">
        <w:rPr>
          <w:rFonts w:ascii="Times New Roman" w:eastAsia="Times New Roman" w:hAnsi="Times New Roman" w:cs="Times New Roman"/>
          <w:color w:val="333333"/>
          <w:kern w:val="0"/>
          <w:sz w:val="22"/>
          <w:szCs w:val="22"/>
          <w:lang w:eastAsia="en-GB"/>
          <w14:ligatures w14:val="none"/>
        </w:rPr>
        <w:t xml:space="preserve">—sunt percepute ca </w:t>
      </w:r>
      <w:r w:rsidRPr="005B4778">
        <w:rPr>
          <w:rFonts w:ascii="Times New Roman" w:eastAsia="Times New Roman" w:hAnsi="Times New Roman" w:cs="Times New Roman"/>
          <w:b/>
          <w:bCs/>
          <w:color w:val="333333"/>
          <w:kern w:val="0"/>
          <w:sz w:val="22"/>
          <w:szCs w:val="22"/>
          <w:lang w:eastAsia="en-GB"/>
          <w14:ligatures w14:val="none"/>
        </w:rPr>
        <w:t>insuficient convertite în conectivitate și fluxuri de transport</w:t>
      </w:r>
      <w:r w:rsidRPr="005B4778">
        <w:rPr>
          <w:rFonts w:ascii="Times New Roman" w:eastAsia="Times New Roman" w:hAnsi="Times New Roman" w:cs="Times New Roman"/>
          <w:color w:val="333333"/>
          <w:kern w:val="0"/>
          <w:sz w:val="22"/>
          <w:szCs w:val="22"/>
          <w:lang w:eastAsia="en-GB"/>
          <w14:ligatures w14:val="none"/>
        </w:rPr>
        <w:t xml:space="preserve">, în acord cu mențiunile frecvente privind </w:t>
      </w:r>
      <w:r w:rsidRPr="005B4778">
        <w:rPr>
          <w:rFonts w:ascii="Times New Roman" w:eastAsia="Times New Roman" w:hAnsi="Times New Roman" w:cs="Times New Roman"/>
          <w:b/>
          <w:bCs/>
          <w:color w:val="333333"/>
          <w:kern w:val="0"/>
          <w:sz w:val="22"/>
          <w:szCs w:val="22"/>
          <w:lang w:eastAsia="en-GB"/>
          <w14:ligatures w14:val="none"/>
        </w:rPr>
        <w:t>conectivitatea deficitară și intermodalitatea limitată</w:t>
      </w:r>
      <w:r w:rsidRPr="005B4778">
        <w:rPr>
          <w:rFonts w:ascii="Times New Roman" w:eastAsia="Times New Roman" w:hAnsi="Times New Roman" w:cs="Times New Roman"/>
          <w:color w:val="333333"/>
          <w:kern w:val="0"/>
          <w:sz w:val="22"/>
          <w:szCs w:val="22"/>
          <w:lang w:eastAsia="en-GB"/>
          <w14:ligatures w14:val="none"/>
        </w:rPr>
        <w:t xml:space="preserve"> din răspunsurile anterioare.</w:t>
      </w:r>
    </w:p>
    <w:p w14:paraId="53B1E055" w14:textId="6155FE2E" w:rsidR="00522C44" w:rsidRPr="002E0C1B" w:rsidRDefault="005B4778" w:rsidP="002E0C1B">
      <w:pPr>
        <w:spacing w:before="120" w:after="120" w:line="240" w:lineRule="auto"/>
        <w:jc w:val="both"/>
        <w:rPr>
          <w:rFonts w:ascii="Times New Roman" w:eastAsia="Times New Roman" w:hAnsi="Times New Roman" w:cs="Times New Roman"/>
          <w:b/>
          <w:bCs/>
          <w:color w:val="333333"/>
          <w:kern w:val="0"/>
          <w:lang w:eastAsia="en-GB"/>
          <w14:ligatures w14:val="none"/>
        </w:rPr>
      </w:pPr>
      <w:r w:rsidRPr="002E0C1B">
        <w:rPr>
          <w:rFonts w:ascii="Times New Roman" w:eastAsia="Times New Roman" w:hAnsi="Times New Roman" w:cs="Times New Roman"/>
          <w:b/>
          <w:bCs/>
          <w:color w:val="333333"/>
          <w:kern w:val="0"/>
          <w:lang w:eastAsia="en-GB"/>
          <w14:ligatures w14:val="none"/>
        </w:rPr>
        <w:t xml:space="preserve">11. </w:t>
      </w:r>
      <w:r w:rsidR="00522C44" w:rsidRPr="00522C44">
        <w:rPr>
          <w:rFonts w:ascii="Times New Roman" w:eastAsia="Times New Roman" w:hAnsi="Times New Roman" w:cs="Times New Roman"/>
          <w:b/>
          <w:bCs/>
          <w:color w:val="333333"/>
          <w:kern w:val="0"/>
          <w:lang w:eastAsia="en-GB"/>
          <w14:ligatures w14:val="none"/>
        </w:rPr>
        <w:t>Considerați că județul Tulcea ar trebui să-și consolideze rolul de poartă de legătură între UE și Ucraina prin investiții în infrastructura de transport?</w:t>
      </w:r>
    </w:p>
    <w:p w14:paraId="5C491BD6" w14:textId="395CCB0B" w:rsidR="00D17A30" w:rsidRDefault="005B4778" w:rsidP="002E0C1B">
      <w:pPr>
        <w:spacing w:before="120" w:after="120" w:line="240" w:lineRule="auto"/>
        <w:jc w:val="both"/>
        <w:rPr>
          <w:rFonts w:ascii="Times New Roman" w:hAnsi="Times New Roman" w:cs="Times New Roman"/>
        </w:rPr>
      </w:pPr>
      <w:r w:rsidRPr="002E0C1B">
        <w:rPr>
          <w:rFonts w:ascii="Times New Roman" w:hAnsi="Times New Roman" w:cs="Times New Roman"/>
          <w:noProof/>
          <w:lang w:eastAsia="ro-RO"/>
        </w:rPr>
        <w:drawing>
          <wp:inline distT="0" distB="0" distL="0" distR="0" wp14:anchorId="37E6376B" wp14:editId="39D80500">
            <wp:extent cx="5934075" cy="1181100"/>
            <wp:effectExtent l="0" t="0" r="0" b="0"/>
            <wp:docPr id="94512700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427A5E-148F-E772-2E8D-CB414374D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7C181A" w14:textId="61F040EA" w:rsidR="00EE772E" w:rsidRPr="002E0C1B" w:rsidRDefault="00EE772E" w:rsidP="00EE772E">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11</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sidR="002327EA">
        <w:rPr>
          <w:rFonts w:ascii="Times New Roman" w:hAnsi="Times New Roman" w:cs="Times New Roman"/>
          <w:b/>
          <w:bCs/>
        </w:rPr>
        <w:t xml:space="preserve">Percepția respondenților cu privire la </w:t>
      </w:r>
      <w:r w:rsidR="002327EA" w:rsidRPr="002327EA">
        <w:rPr>
          <w:rFonts w:ascii="Times New Roman" w:hAnsi="Times New Roman" w:cs="Times New Roman"/>
          <w:b/>
          <w:bCs/>
        </w:rPr>
        <w:t>rolul de poartă de legătură între UE și Ucraina prin investiții în infrastructura de transport</w:t>
      </w:r>
    </w:p>
    <w:p w14:paraId="62B5946E" w14:textId="77777777" w:rsidR="00EE772E" w:rsidRPr="002E0C1B" w:rsidRDefault="00EE772E" w:rsidP="00EE772E">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3AAE40A7" w14:textId="768E222B" w:rsidR="00D17A30" w:rsidRPr="002E0C1B" w:rsidRDefault="0005567C" w:rsidP="002E0C1B">
      <w:pPr>
        <w:spacing w:before="120" w:after="120" w:line="240" w:lineRule="auto"/>
        <w:jc w:val="both"/>
        <w:rPr>
          <w:rFonts w:ascii="Times New Roman" w:hAnsi="Times New Roman" w:cs="Times New Roman"/>
        </w:rPr>
      </w:pPr>
      <w:r w:rsidRPr="002E0C1B">
        <w:rPr>
          <w:rFonts w:ascii="Times New Roman" w:hAnsi="Times New Roman" w:cs="Times New Roman"/>
        </w:rPr>
        <w:t xml:space="preserve">Răspunsurile indică o </w:t>
      </w:r>
      <w:r w:rsidRPr="002E0C1B">
        <w:rPr>
          <w:rFonts w:ascii="Times New Roman" w:hAnsi="Times New Roman" w:cs="Times New Roman"/>
          <w:b/>
          <w:bCs/>
        </w:rPr>
        <w:t>susținere majoritară</w:t>
      </w:r>
      <w:r w:rsidRPr="002E0C1B">
        <w:rPr>
          <w:rFonts w:ascii="Times New Roman" w:hAnsi="Times New Roman" w:cs="Times New Roman"/>
        </w:rPr>
        <w:t xml:space="preserve"> pentru consolidarea rolului </w:t>
      </w:r>
      <w:r w:rsidR="00EE772E">
        <w:rPr>
          <w:rFonts w:ascii="Times New Roman" w:hAnsi="Times New Roman" w:cs="Times New Roman"/>
        </w:rPr>
        <w:t xml:space="preserve">județului Tulcea </w:t>
      </w:r>
      <w:r w:rsidRPr="002E0C1B">
        <w:rPr>
          <w:rFonts w:ascii="Times New Roman" w:hAnsi="Times New Roman" w:cs="Times New Roman"/>
        </w:rPr>
        <w:t xml:space="preserve">de poartă </w:t>
      </w:r>
      <w:r w:rsidR="00EE772E" w:rsidRPr="00EE772E">
        <w:rPr>
          <w:rFonts w:ascii="Times New Roman" w:hAnsi="Times New Roman" w:cs="Times New Roman"/>
        </w:rPr>
        <w:t xml:space="preserve">de legătură între </w:t>
      </w:r>
      <w:r w:rsidRPr="002E0C1B">
        <w:rPr>
          <w:rFonts w:ascii="Times New Roman" w:hAnsi="Times New Roman" w:cs="Times New Roman"/>
        </w:rPr>
        <w:t>UE</w:t>
      </w:r>
      <w:r w:rsidR="002327EA">
        <w:rPr>
          <w:rFonts w:ascii="Times New Roman" w:hAnsi="Times New Roman" w:cs="Times New Roman"/>
        </w:rPr>
        <w:t xml:space="preserve"> și </w:t>
      </w:r>
      <w:r w:rsidRPr="002E0C1B">
        <w:rPr>
          <w:rFonts w:ascii="Times New Roman" w:hAnsi="Times New Roman" w:cs="Times New Roman"/>
        </w:rPr>
        <w:t xml:space="preserve">Ucraina: </w:t>
      </w:r>
      <w:r w:rsidRPr="002E0C1B">
        <w:rPr>
          <w:rFonts w:ascii="Times New Roman" w:hAnsi="Times New Roman" w:cs="Times New Roman"/>
          <w:b/>
          <w:bCs/>
        </w:rPr>
        <w:t>61,29%</w:t>
      </w:r>
      <w:r w:rsidRPr="002E0C1B">
        <w:rPr>
          <w:rFonts w:ascii="Times New Roman" w:hAnsi="Times New Roman" w:cs="Times New Roman"/>
        </w:rPr>
        <w:t xml:space="preserve"> consideră investițiile </w:t>
      </w:r>
      <w:r w:rsidRPr="002E0C1B">
        <w:rPr>
          <w:rFonts w:ascii="Times New Roman" w:hAnsi="Times New Roman" w:cs="Times New Roman"/>
          <w:b/>
          <w:bCs/>
        </w:rPr>
        <w:t>esențiale</w:t>
      </w:r>
      <w:r w:rsidRPr="002E0C1B">
        <w:rPr>
          <w:rFonts w:ascii="Times New Roman" w:hAnsi="Times New Roman" w:cs="Times New Roman"/>
        </w:rPr>
        <w:t xml:space="preserve">, iar încă </w:t>
      </w:r>
      <w:r w:rsidRPr="002E0C1B">
        <w:rPr>
          <w:rFonts w:ascii="Times New Roman" w:hAnsi="Times New Roman" w:cs="Times New Roman"/>
          <w:b/>
          <w:bCs/>
        </w:rPr>
        <w:t>6,45%</w:t>
      </w:r>
      <w:r w:rsidRPr="002E0C1B">
        <w:rPr>
          <w:rFonts w:ascii="Times New Roman" w:hAnsi="Times New Roman" w:cs="Times New Roman"/>
        </w:rPr>
        <w:t xml:space="preserve"> le văd drept </w:t>
      </w:r>
      <w:r w:rsidRPr="002E0C1B">
        <w:rPr>
          <w:rFonts w:ascii="Times New Roman" w:hAnsi="Times New Roman" w:cs="Times New Roman"/>
          <w:b/>
          <w:bCs/>
        </w:rPr>
        <w:t>o oportunitate pe termen mediu</w:t>
      </w:r>
      <w:r w:rsidRPr="002E0C1B">
        <w:rPr>
          <w:rFonts w:ascii="Times New Roman" w:hAnsi="Times New Roman" w:cs="Times New Roman"/>
        </w:rPr>
        <w:t xml:space="preserve"> (</w:t>
      </w:r>
      <w:r w:rsidRPr="002E0C1B">
        <w:rPr>
          <w:rFonts w:ascii="Times New Roman" w:hAnsi="Times New Roman" w:cs="Times New Roman"/>
          <w:b/>
          <w:bCs/>
        </w:rPr>
        <w:t>67,74%</w:t>
      </w:r>
      <w:r w:rsidRPr="002E0C1B">
        <w:rPr>
          <w:rFonts w:ascii="Times New Roman" w:hAnsi="Times New Roman" w:cs="Times New Roman"/>
        </w:rPr>
        <w:t xml:space="preserve"> cumulat). În opoziție, </w:t>
      </w:r>
      <w:r w:rsidRPr="002327EA">
        <w:rPr>
          <w:rFonts w:ascii="Times New Roman" w:hAnsi="Times New Roman" w:cs="Times New Roman"/>
        </w:rPr>
        <w:t>25,81%</w:t>
      </w:r>
      <w:r w:rsidR="002327EA" w:rsidRPr="002327EA">
        <w:rPr>
          <w:rFonts w:ascii="Times New Roman" w:hAnsi="Times New Roman" w:cs="Times New Roman"/>
        </w:rPr>
        <w:t xml:space="preserve"> din respondenți</w:t>
      </w:r>
      <w:r w:rsidRPr="002E0C1B">
        <w:rPr>
          <w:rFonts w:ascii="Times New Roman" w:hAnsi="Times New Roman" w:cs="Times New Roman"/>
        </w:rPr>
        <w:t xml:space="preserve"> apreciază că </w:t>
      </w:r>
      <w:r w:rsidRPr="002E0C1B">
        <w:rPr>
          <w:rFonts w:ascii="Times New Roman" w:hAnsi="Times New Roman" w:cs="Times New Roman"/>
          <w:b/>
          <w:bCs/>
        </w:rPr>
        <w:t>nu este o prioritate</w:t>
      </w:r>
      <w:r w:rsidRPr="002E0C1B">
        <w:rPr>
          <w:rFonts w:ascii="Times New Roman" w:hAnsi="Times New Roman" w:cs="Times New Roman"/>
        </w:rPr>
        <w:t xml:space="preserve">, iar </w:t>
      </w:r>
      <w:r w:rsidRPr="002E0C1B">
        <w:rPr>
          <w:rFonts w:ascii="Times New Roman" w:hAnsi="Times New Roman" w:cs="Times New Roman"/>
          <w:b/>
          <w:bCs/>
        </w:rPr>
        <w:t>6,45%</w:t>
      </w:r>
      <w:r w:rsidRPr="002E0C1B">
        <w:rPr>
          <w:rFonts w:ascii="Times New Roman" w:hAnsi="Times New Roman" w:cs="Times New Roman"/>
        </w:rPr>
        <w:t xml:space="preserve"> nu se pronunță. Rezultatul conturează o </w:t>
      </w:r>
      <w:r w:rsidRPr="002E0C1B">
        <w:rPr>
          <w:rFonts w:ascii="Times New Roman" w:hAnsi="Times New Roman" w:cs="Times New Roman"/>
          <w:b/>
          <w:bCs/>
        </w:rPr>
        <w:t>preferință clară</w:t>
      </w:r>
      <w:r w:rsidRPr="002E0C1B">
        <w:rPr>
          <w:rFonts w:ascii="Times New Roman" w:hAnsi="Times New Roman" w:cs="Times New Roman"/>
        </w:rPr>
        <w:t xml:space="preserve"> pentru investiții orientate spre </w:t>
      </w:r>
      <w:r w:rsidRPr="002E0C1B">
        <w:rPr>
          <w:rFonts w:ascii="Times New Roman" w:hAnsi="Times New Roman" w:cs="Times New Roman"/>
          <w:b/>
          <w:bCs/>
        </w:rPr>
        <w:t>conectivitatea estică</w:t>
      </w:r>
      <w:r w:rsidRPr="002E0C1B">
        <w:rPr>
          <w:rFonts w:ascii="Times New Roman" w:hAnsi="Times New Roman" w:cs="Times New Roman"/>
        </w:rPr>
        <w:t xml:space="preserve"> (fluxuri pe Dunăre și legături rutiere/navale), cu un </w:t>
      </w:r>
      <w:r w:rsidRPr="002E0C1B">
        <w:rPr>
          <w:rFonts w:ascii="Times New Roman" w:hAnsi="Times New Roman" w:cs="Times New Roman"/>
          <w:b/>
          <w:bCs/>
        </w:rPr>
        <w:t>nucleu minoritar</w:t>
      </w:r>
      <w:r w:rsidRPr="002E0C1B">
        <w:rPr>
          <w:rFonts w:ascii="Times New Roman" w:hAnsi="Times New Roman" w:cs="Times New Roman"/>
        </w:rPr>
        <w:t xml:space="preserve"> care plasează această direcție în plan secund.</w:t>
      </w:r>
    </w:p>
    <w:p w14:paraId="15513C38" w14:textId="687FFFB1" w:rsidR="00A02766" w:rsidRPr="00A02766" w:rsidRDefault="0005567C" w:rsidP="002E0C1B">
      <w:pPr>
        <w:spacing w:before="120" w:after="120" w:line="240" w:lineRule="auto"/>
        <w:jc w:val="both"/>
        <w:rPr>
          <w:rFonts w:ascii="Times New Roman" w:hAnsi="Times New Roman" w:cs="Times New Roman"/>
          <w:b/>
          <w:bCs/>
        </w:rPr>
      </w:pPr>
      <w:r w:rsidRPr="00A02766">
        <w:rPr>
          <w:rFonts w:ascii="Times New Roman" w:hAnsi="Times New Roman" w:cs="Times New Roman"/>
          <w:b/>
          <w:bCs/>
        </w:rPr>
        <w:t>12. Care considerați că ar trebui să fie rolul autorităților publice în dezvoltarea unui sistem integrat de transport în județul Tulcea?</w:t>
      </w:r>
    </w:p>
    <w:p w14:paraId="0DD43CAE" w14:textId="49841A74" w:rsidR="00D17A30" w:rsidRDefault="0005567C" w:rsidP="002E0C1B">
      <w:pPr>
        <w:spacing w:before="120" w:after="120" w:line="240" w:lineRule="auto"/>
        <w:jc w:val="both"/>
        <w:rPr>
          <w:rFonts w:ascii="Times New Roman" w:hAnsi="Times New Roman" w:cs="Times New Roman"/>
        </w:rPr>
      </w:pPr>
      <w:r w:rsidRPr="002E0C1B">
        <w:rPr>
          <w:rFonts w:ascii="Times New Roman" w:hAnsi="Times New Roman" w:cs="Times New Roman"/>
          <w:noProof/>
          <w:lang w:eastAsia="ro-RO"/>
        </w:rPr>
        <w:drawing>
          <wp:inline distT="0" distB="0" distL="0" distR="0" wp14:anchorId="6BF7A49C" wp14:editId="798FFEE6">
            <wp:extent cx="5857875" cy="1781175"/>
            <wp:effectExtent l="0" t="0" r="0" b="0"/>
            <wp:docPr id="65294667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AADD70-5054-66E6-0A83-42A0E66DE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116D08" w14:textId="36D0A13B" w:rsidR="00A02766" w:rsidRPr="002E0C1B" w:rsidRDefault="00A02766" w:rsidP="00A02766">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12</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Pr>
          <w:rFonts w:ascii="Times New Roman" w:hAnsi="Times New Roman" w:cs="Times New Roman"/>
          <w:b/>
          <w:bCs/>
        </w:rPr>
        <w:t xml:space="preserve">Percepția respondenților cu privire la </w:t>
      </w:r>
      <w:r w:rsidRPr="002327EA">
        <w:rPr>
          <w:rFonts w:ascii="Times New Roman" w:hAnsi="Times New Roman" w:cs="Times New Roman"/>
          <w:b/>
          <w:bCs/>
        </w:rPr>
        <w:t xml:space="preserve">rolul </w:t>
      </w:r>
      <w:r w:rsidRPr="00A02766">
        <w:rPr>
          <w:rFonts w:ascii="Times New Roman" w:hAnsi="Times New Roman" w:cs="Times New Roman"/>
          <w:b/>
          <w:bCs/>
        </w:rPr>
        <w:t>autorităților publice în dezvoltarea unui sistem integrat de transport în județul Tulcea</w:t>
      </w:r>
    </w:p>
    <w:p w14:paraId="7590BACC" w14:textId="77777777" w:rsidR="00A02766" w:rsidRPr="002E0C1B" w:rsidRDefault="00A02766" w:rsidP="00A02766">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3CFE64A0" w14:textId="5330684A" w:rsidR="0005567C" w:rsidRPr="0005567C" w:rsidRDefault="00A02766" w:rsidP="002E0C1B">
      <w:pPr>
        <w:spacing w:before="120" w:after="120" w:line="240" w:lineRule="auto"/>
        <w:jc w:val="both"/>
        <w:rPr>
          <w:rFonts w:ascii="Times New Roman" w:hAnsi="Times New Roman" w:cs="Times New Roman"/>
        </w:rPr>
      </w:pPr>
      <w:r>
        <w:rPr>
          <w:rFonts w:ascii="Times New Roman" w:hAnsi="Times New Roman" w:cs="Times New Roman"/>
        </w:rPr>
        <w:lastRenderedPageBreak/>
        <w:t>Majoritatea respondenților sunt de părere că autorit</w:t>
      </w:r>
      <w:r w:rsidR="00A51FD8">
        <w:rPr>
          <w:rFonts w:ascii="Times New Roman" w:hAnsi="Times New Roman" w:cs="Times New Roman"/>
        </w:rPr>
        <w:t>ățile publice trebuie să aibă un rol activ în ceea ce privește</w:t>
      </w:r>
      <w:r w:rsidR="0005567C" w:rsidRPr="0005567C">
        <w:rPr>
          <w:rFonts w:ascii="Times New Roman" w:hAnsi="Times New Roman" w:cs="Times New Roman"/>
        </w:rPr>
        <w:t xml:space="preserve"> </w:t>
      </w:r>
      <w:r w:rsidR="0005567C" w:rsidRPr="0005567C">
        <w:rPr>
          <w:rFonts w:ascii="Times New Roman" w:hAnsi="Times New Roman" w:cs="Times New Roman"/>
          <w:b/>
          <w:bCs/>
        </w:rPr>
        <w:t>finanțare</w:t>
      </w:r>
      <w:r w:rsidR="00A51FD8">
        <w:rPr>
          <w:rFonts w:ascii="Times New Roman" w:hAnsi="Times New Roman" w:cs="Times New Roman"/>
          <w:b/>
          <w:bCs/>
        </w:rPr>
        <w:t>a</w:t>
      </w:r>
      <w:r w:rsidR="0005567C" w:rsidRPr="0005567C">
        <w:rPr>
          <w:rFonts w:ascii="Times New Roman" w:hAnsi="Times New Roman" w:cs="Times New Roman"/>
        </w:rPr>
        <w:t xml:space="preserve">, </w:t>
      </w:r>
      <w:r w:rsidR="0005567C" w:rsidRPr="0005567C">
        <w:rPr>
          <w:rFonts w:ascii="Times New Roman" w:hAnsi="Times New Roman" w:cs="Times New Roman"/>
          <w:b/>
          <w:bCs/>
        </w:rPr>
        <w:t>parteneriate</w:t>
      </w:r>
      <w:r w:rsidR="00A51FD8">
        <w:rPr>
          <w:rFonts w:ascii="Times New Roman" w:hAnsi="Times New Roman" w:cs="Times New Roman"/>
          <w:b/>
          <w:bCs/>
        </w:rPr>
        <w:t>le</w:t>
      </w:r>
      <w:r w:rsidR="0005567C" w:rsidRPr="0005567C">
        <w:rPr>
          <w:rFonts w:ascii="Times New Roman" w:hAnsi="Times New Roman" w:cs="Times New Roman"/>
        </w:rPr>
        <w:t xml:space="preserve"> și </w:t>
      </w:r>
      <w:r w:rsidR="0005567C" w:rsidRPr="0005567C">
        <w:rPr>
          <w:rFonts w:ascii="Times New Roman" w:hAnsi="Times New Roman" w:cs="Times New Roman"/>
          <w:b/>
          <w:bCs/>
        </w:rPr>
        <w:t>guvernanț</w:t>
      </w:r>
      <w:r w:rsidR="00A51FD8">
        <w:rPr>
          <w:rFonts w:ascii="Times New Roman" w:hAnsi="Times New Roman" w:cs="Times New Roman"/>
          <w:b/>
          <w:bCs/>
        </w:rPr>
        <w:t>a</w:t>
      </w:r>
      <w:r w:rsidR="0005567C" w:rsidRPr="0005567C">
        <w:rPr>
          <w:rFonts w:ascii="Times New Roman" w:hAnsi="Times New Roman" w:cs="Times New Roman"/>
          <w:b/>
          <w:bCs/>
        </w:rPr>
        <w:t xml:space="preserve"> integrată</w:t>
      </w:r>
      <w:r w:rsidR="0005567C" w:rsidRPr="0005567C">
        <w:rPr>
          <w:rFonts w:ascii="Times New Roman" w:hAnsi="Times New Roman" w:cs="Times New Roman"/>
        </w:rPr>
        <w:t xml:space="preserve">. Ponderea cea mai mare revine </w:t>
      </w:r>
      <w:r w:rsidR="0005567C" w:rsidRPr="0005567C">
        <w:rPr>
          <w:rFonts w:ascii="Times New Roman" w:hAnsi="Times New Roman" w:cs="Times New Roman"/>
          <w:b/>
          <w:bCs/>
        </w:rPr>
        <w:t>creșterii capacității instituționale și de atragere de fonduri – 24,49%</w:t>
      </w:r>
      <w:r w:rsidR="0005567C" w:rsidRPr="0005567C">
        <w:rPr>
          <w:rFonts w:ascii="Times New Roman" w:hAnsi="Times New Roman" w:cs="Times New Roman"/>
        </w:rPr>
        <w:t xml:space="preserve">. Urmează </w:t>
      </w:r>
      <w:r w:rsidR="0005567C" w:rsidRPr="0005567C">
        <w:rPr>
          <w:rFonts w:ascii="Times New Roman" w:hAnsi="Times New Roman" w:cs="Times New Roman"/>
          <w:b/>
          <w:bCs/>
        </w:rPr>
        <w:t>parteneriatele active cu mediul privat – 21,43%</w:t>
      </w:r>
      <w:r w:rsidR="0005567C" w:rsidRPr="0005567C">
        <w:rPr>
          <w:rFonts w:ascii="Times New Roman" w:hAnsi="Times New Roman" w:cs="Times New Roman"/>
        </w:rPr>
        <w:t xml:space="preserve"> și </w:t>
      </w:r>
      <w:r w:rsidR="0005567C" w:rsidRPr="0005567C">
        <w:rPr>
          <w:rFonts w:ascii="Times New Roman" w:hAnsi="Times New Roman" w:cs="Times New Roman"/>
          <w:b/>
          <w:bCs/>
        </w:rPr>
        <w:t>inițierea/coord</w:t>
      </w:r>
      <w:r w:rsidR="00A51FD8">
        <w:rPr>
          <w:rFonts w:ascii="Times New Roman" w:hAnsi="Times New Roman" w:cs="Times New Roman"/>
          <w:b/>
          <w:bCs/>
        </w:rPr>
        <w:t>onarea</w:t>
      </w:r>
      <w:r w:rsidR="0005567C" w:rsidRPr="0005567C">
        <w:rPr>
          <w:rFonts w:ascii="Times New Roman" w:hAnsi="Times New Roman" w:cs="Times New Roman"/>
          <w:b/>
          <w:bCs/>
        </w:rPr>
        <w:t xml:space="preserve"> investițiilor strategice – 19,39%</w:t>
      </w:r>
      <w:r w:rsidR="0005567C" w:rsidRPr="0005567C">
        <w:rPr>
          <w:rFonts w:ascii="Times New Roman" w:hAnsi="Times New Roman" w:cs="Times New Roman"/>
        </w:rPr>
        <w:t xml:space="preserve">. Dimensiunile de </w:t>
      </w:r>
      <w:r w:rsidR="0005567C" w:rsidRPr="0005567C">
        <w:rPr>
          <w:rFonts w:ascii="Times New Roman" w:hAnsi="Times New Roman" w:cs="Times New Roman"/>
          <w:b/>
          <w:bCs/>
        </w:rPr>
        <w:t>planificare intersectorială – 17,35%</w:t>
      </w:r>
      <w:r w:rsidR="0005567C" w:rsidRPr="0005567C">
        <w:rPr>
          <w:rFonts w:ascii="Times New Roman" w:hAnsi="Times New Roman" w:cs="Times New Roman"/>
        </w:rPr>
        <w:t xml:space="preserve"> și </w:t>
      </w:r>
      <w:r w:rsidR="0005567C" w:rsidRPr="0005567C">
        <w:rPr>
          <w:rFonts w:ascii="Times New Roman" w:hAnsi="Times New Roman" w:cs="Times New Roman"/>
          <w:b/>
          <w:bCs/>
        </w:rPr>
        <w:t>promovarea soluțiilor inteligente și inovatoare – 16,33%</w:t>
      </w:r>
      <w:r w:rsidR="0005567C" w:rsidRPr="0005567C">
        <w:rPr>
          <w:rFonts w:ascii="Times New Roman" w:hAnsi="Times New Roman" w:cs="Times New Roman"/>
        </w:rPr>
        <w:t xml:space="preserve"> au valori apropiate</w:t>
      </w:r>
      <w:r w:rsidR="00A51FD8">
        <w:rPr>
          <w:rFonts w:ascii="Times New Roman" w:hAnsi="Times New Roman" w:cs="Times New Roman"/>
        </w:rPr>
        <w:t xml:space="preserve">. Categoria </w:t>
      </w:r>
      <w:r w:rsidR="00212B62" w:rsidRPr="00212B62">
        <w:rPr>
          <w:rFonts w:ascii="Times New Roman" w:hAnsi="Times New Roman" w:cs="Times New Roman"/>
          <w:b/>
          <w:bCs/>
        </w:rPr>
        <w:t>„</w:t>
      </w:r>
      <w:r w:rsidR="00A51FD8" w:rsidRPr="002E0C1B">
        <w:rPr>
          <w:rFonts w:ascii="Times New Roman" w:hAnsi="Times New Roman" w:cs="Times New Roman"/>
          <w:b/>
          <w:bCs/>
        </w:rPr>
        <w:t>Altele</w:t>
      </w:r>
      <w:r w:rsidR="00A51FD8">
        <w:rPr>
          <w:rFonts w:ascii="Times New Roman" w:hAnsi="Times New Roman" w:cs="Times New Roman"/>
          <w:b/>
          <w:bCs/>
        </w:rPr>
        <w:t>”</w:t>
      </w:r>
      <w:r w:rsidR="00A51FD8" w:rsidRPr="002E0C1B">
        <w:rPr>
          <w:rFonts w:ascii="Times New Roman" w:hAnsi="Times New Roman" w:cs="Times New Roman"/>
          <w:b/>
          <w:bCs/>
        </w:rPr>
        <w:t xml:space="preserve"> – 1,02%”</w:t>
      </w:r>
      <w:r w:rsidR="00212B62">
        <w:rPr>
          <w:rFonts w:ascii="Times New Roman" w:hAnsi="Times New Roman" w:cs="Times New Roman"/>
        </w:rPr>
        <w:t xml:space="preserve"> surprinde nevoia realizării unor</w:t>
      </w:r>
      <w:r w:rsidR="00212B62">
        <w:rPr>
          <w:rFonts w:ascii="Times New Roman" w:hAnsi="Times New Roman" w:cs="Times New Roman"/>
          <w:b/>
          <w:bCs/>
        </w:rPr>
        <w:t xml:space="preserve"> „f</w:t>
      </w:r>
      <w:r w:rsidR="00A51FD8" w:rsidRPr="002E0C1B">
        <w:rPr>
          <w:rFonts w:ascii="Times New Roman" w:hAnsi="Times New Roman" w:cs="Times New Roman"/>
          <w:b/>
          <w:bCs/>
        </w:rPr>
        <w:t>acilități de acostare pentru ambarcațiunile localnicilor din Delta Dunării”</w:t>
      </w:r>
      <w:r w:rsidR="00212B62">
        <w:rPr>
          <w:rFonts w:ascii="Times New Roman" w:hAnsi="Times New Roman" w:cs="Times New Roman"/>
          <w:b/>
          <w:bCs/>
        </w:rPr>
        <w:t>.</w:t>
      </w:r>
      <w:r w:rsidR="00A51FD8" w:rsidRPr="002E0C1B">
        <w:rPr>
          <w:rFonts w:ascii="Times New Roman" w:hAnsi="Times New Roman" w:cs="Times New Roman"/>
        </w:rPr>
        <w:t xml:space="preserve"> Această mențiune indică o nevoie operațională de </w:t>
      </w:r>
      <w:r w:rsidR="00A51FD8" w:rsidRPr="002E0C1B">
        <w:rPr>
          <w:rFonts w:ascii="Times New Roman" w:hAnsi="Times New Roman" w:cs="Times New Roman"/>
          <w:b/>
          <w:bCs/>
        </w:rPr>
        <w:t>infrastructură de scară</w:t>
      </w:r>
      <w:r w:rsidR="00A51FD8" w:rsidRPr="002E0C1B">
        <w:rPr>
          <w:rFonts w:ascii="Times New Roman" w:hAnsi="Times New Roman" w:cs="Times New Roman"/>
        </w:rPr>
        <w:t xml:space="preserve"> </w:t>
      </w:r>
      <w:r w:rsidR="00212B62" w:rsidRPr="00212B62">
        <w:rPr>
          <w:rFonts w:ascii="Times New Roman" w:hAnsi="Times New Roman" w:cs="Times New Roman"/>
          <w:b/>
          <w:bCs/>
        </w:rPr>
        <w:t>mică</w:t>
      </w:r>
      <w:r w:rsidR="00212B62">
        <w:rPr>
          <w:rFonts w:ascii="Times New Roman" w:hAnsi="Times New Roman" w:cs="Times New Roman"/>
        </w:rPr>
        <w:t xml:space="preserve"> </w:t>
      </w:r>
      <w:r w:rsidR="00A51FD8" w:rsidRPr="002E0C1B">
        <w:rPr>
          <w:rFonts w:ascii="Times New Roman" w:hAnsi="Times New Roman" w:cs="Times New Roman"/>
        </w:rPr>
        <w:t xml:space="preserve">cu rol în </w:t>
      </w:r>
      <w:r w:rsidR="00A51FD8" w:rsidRPr="002E0C1B">
        <w:rPr>
          <w:rFonts w:ascii="Times New Roman" w:hAnsi="Times New Roman" w:cs="Times New Roman"/>
          <w:b/>
          <w:bCs/>
        </w:rPr>
        <w:t>mobilitatea cotidiană</w:t>
      </w:r>
      <w:r w:rsidR="00A51FD8" w:rsidRPr="002E0C1B">
        <w:rPr>
          <w:rFonts w:ascii="Times New Roman" w:hAnsi="Times New Roman" w:cs="Times New Roman"/>
        </w:rPr>
        <w:t xml:space="preserve"> a rezidenților din așezările </w:t>
      </w:r>
      <w:r w:rsidR="00212B62">
        <w:rPr>
          <w:rFonts w:ascii="Times New Roman" w:hAnsi="Times New Roman" w:cs="Times New Roman"/>
        </w:rPr>
        <w:t>izolate.</w:t>
      </w:r>
    </w:p>
    <w:p w14:paraId="6184E050" w14:textId="292A3B7B" w:rsidR="008651B3" w:rsidRPr="00212B62" w:rsidRDefault="00BE61BB" w:rsidP="002E0C1B">
      <w:pPr>
        <w:spacing w:before="120" w:after="120" w:line="240" w:lineRule="auto"/>
        <w:jc w:val="both"/>
        <w:rPr>
          <w:rFonts w:ascii="Times New Roman" w:hAnsi="Times New Roman" w:cs="Times New Roman"/>
          <w:b/>
          <w:bCs/>
        </w:rPr>
      </w:pPr>
      <w:r w:rsidRPr="00212B62">
        <w:rPr>
          <w:rFonts w:ascii="Times New Roman" w:hAnsi="Times New Roman" w:cs="Times New Roman"/>
          <w:b/>
          <w:bCs/>
        </w:rPr>
        <w:t xml:space="preserve">13. </w:t>
      </w:r>
      <w:r w:rsidR="008651B3" w:rsidRPr="00212B62">
        <w:rPr>
          <w:rFonts w:ascii="Times New Roman" w:hAnsi="Times New Roman" w:cs="Times New Roman"/>
          <w:b/>
          <w:bCs/>
        </w:rPr>
        <w:t>Considerați necesară dezvoltarea unui terminal logistic (cargo) intermodal în județul Tulcea, care să deservească toate cele 4 tipuri de transport?</w:t>
      </w:r>
    </w:p>
    <w:p w14:paraId="57255A03" w14:textId="6F4FFBB8" w:rsidR="008651B3" w:rsidRDefault="008651B3" w:rsidP="00212B62">
      <w:pPr>
        <w:spacing w:before="120" w:after="120" w:line="240" w:lineRule="auto"/>
        <w:jc w:val="center"/>
        <w:rPr>
          <w:rFonts w:ascii="Times New Roman" w:hAnsi="Times New Roman" w:cs="Times New Roman"/>
        </w:rPr>
      </w:pPr>
      <w:r w:rsidRPr="002E0C1B">
        <w:rPr>
          <w:rFonts w:ascii="Times New Roman" w:hAnsi="Times New Roman" w:cs="Times New Roman"/>
          <w:noProof/>
          <w:lang w:eastAsia="ro-RO"/>
        </w:rPr>
        <w:drawing>
          <wp:inline distT="0" distB="0" distL="0" distR="0" wp14:anchorId="6A78A2B9" wp14:editId="1F7140EC">
            <wp:extent cx="5819775" cy="1685925"/>
            <wp:effectExtent l="0" t="0" r="0" b="0"/>
            <wp:docPr id="131179928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D5A795-E7AD-7A29-6CEF-6A4F601CB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50B32B" w14:textId="7956A9EF" w:rsidR="00212B62" w:rsidRPr="002E0C1B" w:rsidRDefault="00212B62" w:rsidP="00212B62">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13</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Pr>
          <w:rFonts w:ascii="Times New Roman" w:hAnsi="Times New Roman" w:cs="Times New Roman"/>
          <w:b/>
          <w:bCs/>
        </w:rPr>
        <w:t xml:space="preserve">Percepția respondenților cu privire la </w:t>
      </w:r>
      <w:r w:rsidR="00D37BB5">
        <w:rPr>
          <w:rFonts w:ascii="Times New Roman" w:hAnsi="Times New Roman" w:cs="Times New Roman"/>
          <w:b/>
          <w:bCs/>
        </w:rPr>
        <w:t xml:space="preserve">necesitatea </w:t>
      </w:r>
      <w:r w:rsidR="00D37BB5" w:rsidRPr="00D37BB5">
        <w:rPr>
          <w:rFonts w:ascii="Times New Roman" w:hAnsi="Times New Roman" w:cs="Times New Roman"/>
          <w:b/>
          <w:bCs/>
        </w:rPr>
        <w:t>dezvolt</w:t>
      </w:r>
      <w:r w:rsidR="00D37BB5">
        <w:rPr>
          <w:rFonts w:ascii="Times New Roman" w:hAnsi="Times New Roman" w:cs="Times New Roman"/>
          <w:b/>
          <w:bCs/>
        </w:rPr>
        <w:t>ă</w:t>
      </w:r>
      <w:r w:rsidR="00D37BB5" w:rsidRPr="00D37BB5">
        <w:rPr>
          <w:rFonts w:ascii="Times New Roman" w:hAnsi="Times New Roman" w:cs="Times New Roman"/>
          <w:b/>
          <w:bCs/>
        </w:rPr>
        <w:t>r</w:t>
      </w:r>
      <w:r w:rsidR="00D37BB5">
        <w:rPr>
          <w:rFonts w:ascii="Times New Roman" w:hAnsi="Times New Roman" w:cs="Times New Roman"/>
          <w:b/>
          <w:bCs/>
        </w:rPr>
        <w:t>ii</w:t>
      </w:r>
      <w:r w:rsidR="00D37BB5" w:rsidRPr="00D37BB5">
        <w:rPr>
          <w:rFonts w:ascii="Times New Roman" w:hAnsi="Times New Roman" w:cs="Times New Roman"/>
          <w:b/>
          <w:bCs/>
        </w:rPr>
        <w:t xml:space="preserve"> unui terminal logistic (cargo) intermodal în județul Tulcea, care să deservească toate cele 4 tipuri de transport</w:t>
      </w:r>
    </w:p>
    <w:p w14:paraId="17F639D0" w14:textId="77777777" w:rsidR="00212B62" w:rsidRPr="002E0C1B" w:rsidRDefault="00212B62" w:rsidP="00212B62">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61EB23E6" w14:textId="6AF88ADD" w:rsidR="00BE61BB" w:rsidRPr="00BE61BB" w:rsidRDefault="00D37BB5" w:rsidP="002E0C1B">
      <w:pPr>
        <w:spacing w:before="120" w:after="120" w:line="240" w:lineRule="auto"/>
        <w:jc w:val="both"/>
        <w:rPr>
          <w:rFonts w:ascii="Times New Roman" w:hAnsi="Times New Roman" w:cs="Times New Roman"/>
        </w:rPr>
      </w:pPr>
      <w:r>
        <w:rPr>
          <w:rFonts w:ascii="Times New Roman" w:hAnsi="Times New Roman" w:cs="Times New Roman"/>
        </w:rPr>
        <w:t>Datele</w:t>
      </w:r>
      <w:r w:rsidR="00BE61BB" w:rsidRPr="00BE61BB">
        <w:rPr>
          <w:rFonts w:ascii="Times New Roman" w:hAnsi="Times New Roman" w:cs="Times New Roman"/>
        </w:rPr>
        <w:t xml:space="preserve"> indică o </w:t>
      </w:r>
      <w:r w:rsidR="00BE61BB" w:rsidRPr="00BE61BB">
        <w:rPr>
          <w:rFonts w:ascii="Times New Roman" w:hAnsi="Times New Roman" w:cs="Times New Roman"/>
          <w:b/>
          <w:bCs/>
        </w:rPr>
        <w:t>susținere covârșitoare</w:t>
      </w:r>
      <w:r w:rsidR="00BE61BB" w:rsidRPr="00BE61BB">
        <w:rPr>
          <w:rFonts w:ascii="Times New Roman" w:hAnsi="Times New Roman" w:cs="Times New Roman"/>
        </w:rPr>
        <w:t xml:space="preserve"> pentru dezvoltarea unui terminal logistic intermodal în județ: opțiunile pro-dezvoltare (</w:t>
      </w:r>
      <w:r w:rsidR="00BE61BB" w:rsidRPr="00BE61BB">
        <w:rPr>
          <w:rFonts w:ascii="Times New Roman" w:hAnsi="Times New Roman" w:cs="Times New Roman"/>
          <w:b/>
          <w:bCs/>
        </w:rPr>
        <w:t>Da, ar spori atractivitatea economică – 74,19%</w:t>
      </w:r>
      <w:r w:rsidR="00BE61BB" w:rsidRPr="00BE61BB">
        <w:rPr>
          <w:rFonts w:ascii="Times New Roman" w:hAnsi="Times New Roman" w:cs="Times New Roman"/>
        </w:rPr>
        <w:t xml:space="preserve">; </w:t>
      </w:r>
      <w:r w:rsidR="00BE61BB" w:rsidRPr="00BE61BB">
        <w:rPr>
          <w:rFonts w:ascii="Times New Roman" w:hAnsi="Times New Roman" w:cs="Times New Roman"/>
          <w:b/>
          <w:bCs/>
        </w:rPr>
        <w:t>Da, cu finanțare publică/PPP – 12,90%</w:t>
      </w:r>
      <w:r w:rsidR="00BE61BB" w:rsidRPr="00BE61BB">
        <w:rPr>
          <w:rFonts w:ascii="Times New Roman" w:hAnsi="Times New Roman" w:cs="Times New Roman"/>
        </w:rPr>
        <w:t xml:space="preserve">; </w:t>
      </w:r>
      <w:r w:rsidR="00BE61BB" w:rsidRPr="00BE61BB">
        <w:rPr>
          <w:rFonts w:ascii="Times New Roman" w:hAnsi="Times New Roman" w:cs="Times New Roman"/>
          <w:b/>
          <w:bCs/>
        </w:rPr>
        <w:t>Parțial – 3,23%</w:t>
      </w:r>
      <w:r w:rsidR="00BE61BB" w:rsidRPr="00BE61BB">
        <w:rPr>
          <w:rFonts w:ascii="Times New Roman" w:hAnsi="Times New Roman" w:cs="Times New Roman"/>
        </w:rPr>
        <w:t xml:space="preserve">) însumează </w:t>
      </w:r>
      <w:r w:rsidR="00BE61BB" w:rsidRPr="00BE61BB">
        <w:rPr>
          <w:rFonts w:ascii="Times New Roman" w:hAnsi="Times New Roman" w:cs="Times New Roman"/>
          <w:b/>
          <w:bCs/>
        </w:rPr>
        <w:t>90,32%</w:t>
      </w:r>
      <w:r>
        <w:rPr>
          <w:rFonts w:ascii="Times New Roman" w:hAnsi="Times New Roman" w:cs="Times New Roman"/>
          <w:b/>
          <w:bCs/>
        </w:rPr>
        <w:t xml:space="preserve"> </w:t>
      </w:r>
      <w:r w:rsidRPr="00D37BB5">
        <w:rPr>
          <w:rFonts w:ascii="Times New Roman" w:hAnsi="Times New Roman" w:cs="Times New Roman"/>
        </w:rPr>
        <w:t>din totalul răspunsurilor acordate</w:t>
      </w:r>
      <w:r w:rsidR="00BE61BB" w:rsidRPr="00BE61BB">
        <w:rPr>
          <w:rFonts w:ascii="Times New Roman" w:hAnsi="Times New Roman" w:cs="Times New Roman"/>
        </w:rPr>
        <w:t xml:space="preserve">, </w:t>
      </w:r>
      <w:r>
        <w:rPr>
          <w:rFonts w:ascii="Times New Roman" w:hAnsi="Times New Roman" w:cs="Times New Roman"/>
        </w:rPr>
        <w:t>în timp ce</w:t>
      </w:r>
      <w:r w:rsidR="00D429B8">
        <w:rPr>
          <w:rFonts w:ascii="Times New Roman" w:hAnsi="Times New Roman" w:cs="Times New Roman"/>
        </w:rPr>
        <w:t xml:space="preserve"> doar</w:t>
      </w:r>
      <w:r>
        <w:rPr>
          <w:rFonts w:ascii="Times New Roman" w:hAnsi="Times New Roman" w:cs="Times New Roman"/>
        </w:rPr>
        <w:t xml:space="preserve"> </w:t>
      </w:r>
      <w:r w:rsidR="00BE61BB" w:rsidRPr="00BE61BB">
        <w:rPr>
          <w:rFonts w:ascii="Times New Roman" w:hAnsi="Times New Roman" w:cs="Times New Roman"/>
          <w:b/>
          <w:bCs/>
        </w:rPr>
        <w:t>9,68%</w:t>
      </w:r>
      <w:r>
        <w:rPr>
          <w:rFonts w:ascii="Times New Roman" w:hAnsi="Times New Roman" w:cs="Times New Roman"/>
          <w:b/>
          <w:bCs/>
        </w:rPr>
        <w:t xml:space="preserve"> </w:t>
      </w:r>
      <w:r w:rsidRPr="00D37BB5">
        <w:rPr>
          <w:rFonts w:ascii="Times New Roman" w:hAnsi="Times New Roman" w:cs="Times New Roman"/>
        </w:rPr>
        <w:t>din</w:t>
      </w:r>
      <w:r>
        <w:rPr>
          <w:rFonts w:ascii="Times New Roman" w:hAnsi="Times New Roman" w:cs="Times New Roman"/>
        </w:rPr>
        <w:t xml:space="preserve"> respondenți</w:t>
      </w:r>
      <w:r w:rsidR="00BE61BB" w:rsidRPr="00BE61BB">
        <w:rPr>
          <w:rFonts w:ascii="Times New Roman" w:hAnsi="Times New Roman" w:cs="Times New Roman"/>
        </w:rPr>
        <w:t xml:space="preserve"> nu </w:t>
      </w:r>
      <w:r>
        <w:rPr>
          <w:rFonts w:ascii="Times New Roman" w:hAnsi="Times New Roman" w:cs="Times New Roman"/>
        </w:rPr>
        <w:t xml:space="preserve"> doresc să </w:t>
      </w:r>
      <w:r w:rsidR="00BE61BB" w:rsidRPr="00BE61BB">
        <w:rPr>
          <w:rFonts w:ascii="Times New Roman" w:hAnsi="Times New Roman" w:cs="Times New Roman"/>
        </w:rPr>
        <w:t>se pronunț</w:t>
      </w:r>
      <w:r>
        <w:rPr>
          <w:rFonts w:ascii="Times New Roman" w:hAnsi="Times New Roman" w:cs="Times New Roman"/>
        </w:rPr>
        <w:t>e cu privire la acest aspect</w:t>
      </w:r>
      <w:r w:rsidR="00BE61BB" w:rsidRPr="00BE61BB">
        <w:rPr>
          <w:rFonts w:ascii="Times New Roman" w:hAnsi="Times New Roman" w:cs="Times New Roman"/>
        </w:rPr>
        <w:t>.</w:t>
      </w:r>
    </w:p>
    <w:p w14:paraId="6D9812CC" w14:textId="0D42D62E" w:rsidR="00BE61BB" w:rsidRPr="00D429B8" w:rsidRDefault="00BE61BB" w:rsidP="002E0C1B">
      <w:pPr>
        <w:spacing w:before="120" w:after="120" w:line="240" w:lineRule="auto"/>
        <w:jc w:val="both"/>
        <w:rPr>
          <w:rFonts w:ascii="Times New Roman" w:hAnsi="Times New Roman" w:cs="Times New Roman"/>
          <w:b/>
          <w:bCs/>
        </w:rPr>
      </w:pPr>
      <w:r w:rsidRPr="00D429B8">
        <w:rPr>
          <w:rFonts w:ascii="Times New Roman" w:hAnsi="Times New Roman" w:cs="Times New Roman"/>
          <w:b/>
          <w:bCs/>
        </w:rPr>
        <w:t>14. Care considerați că este cel mai mare obstacol în calea dezvoltării unui sistem modern de transport în județ?</w:t>
      </w:r>
    </w:p>
    <w:p w14:paraId="445FCAF0" w14:textId="5CBBFDF1" w:rsidR="00BE61BB" w:rsidRDefault="00ED6C4F" w:rsidP="002E0C1B">
      <w:pPr>
        <w:spacing w:before="120" w:after="120" w:line="240" w:lineRule="auto"/>
        <w:jc w:val="both"/>
        <w:rPr>
          <w:rFonts w:ascii="Times New Roman" w:hAnsi="Times New Roman" w:cs="Times New Roman"/>
        </w:rPr>
      </w:pPr>
      <w:r w:rsidRPr="002E0C1B">
        <w:rPr>
          <w:rFonts w:ascii="Times New Roman" w:hAnsi="Times New Roman" w:cs="Times New Roman"/>
          <w:noProof/>
          <w:lang w:eastAsia="ro-RO"/>
        </w:rPr>
        <w:drawing>
          <wp:inline distT="0" distB="0" distL="0" distR="0" wp14:anchorId="3309E76F" wp14:editId="20C32C3C">
            <wp:extent cx="5886450" cy="1733550"/>
            <wp:effectExtent l="0" t="0" r="0" b="0"/>
            <wp:docPr id="207746714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51BFDC-CA0F-9DB9-1688-627B0295D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363184" w14:textId="114AE442" w:rsidR="00D429B8" w:rsidRPr="002E0C1B" w:rsidRDefault="00D429B8" w:rsidP="00D429B8">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14</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Pr>
          <w:rFonts w:ascii="Times New Roman" w:hAnsi="Times New Roman" w:cs="Times New Roman"/>
          <w:b/>
          <w:bCs/>
        </w:rPr>
        <w:t xml:space="preserve">Percepția respondenților cu privire la </w:t>
      </w:r>
      <w:r w:rsidRPr="00D429B8">
        <w:rPr>
          <w:rFonts w:ascii="Times New Roman" w:hAnsi="Times New Roman" w:cs="Times New Roman"/>
          <w:b/>
          <w:bCs/>
        </w:rPr>
        <w:t>obstacol</w:t>
      </w:r>
      <w:r>
        <w:rPr>
          <w:rFonts w:ascii="Times New Roman" w:hAnsi="Times New Roman" w:cs="Times New Roman"/>
          <w:b/>
          <w:bCs/>
        </w:rPr>
        <w:t>ele care pot apărea</w:t>
      </w:r>
      <w:r w:rsidRPr="00D429B8">
        <w:rPr>
          <w:rFonts w:ascii="Times New Roman" w:hAnsi="Times New Roman" w:cs="Times New Roman"/>
          <w:b/>
          <w:bCs/>
        </w:rPr>
        <w:t xml:space="preserve"> în calea dezvoltării unui sistem modern de transport în județ</w:t>
      </w:r>
    </w:p>
    <w:p w14:paraId="471689C4" w14:textId="77777777" w:rsidR="00D429B8" w:rsidRPr="002E0C1B" w:rsidRDefault="00D429B8" w:rsidP="00D429B8">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12523B11" w14:textId="1412D440" w:rsidR="00ED6C4F" w:rsidRPr="00ED6C4F" w:rsidRDefault="00D429B8" w:rsidP="002E0C1B">
      <w:pPr>
        <w:spacing w:before="120" w:after="120" w:line="240" w:lineRule="auto"/>
        <w:jc w:val="both"/>
        <w:rPr>
          <w:rFonts w:ascii="Times New Roman" w:hAnsi="Times New Roman" w:cs="Times New Roman"/>
        </w:rPr>
      </w:pPr>
      <w:r>
        <w:rPr>
          <w:rFonts w:ascii="Times New Roman" w:hAnsi="Times New Roman" w:cs="Times New Roman"/>
        </w:rPr>
        <w:lastRenderedPageBreak/>
        <w:t>Prin prisma datelor colectate, se remarcă existența a</w:t>
      </w:r>
      <w:r w:rsidR="00ED6C4F" w:rsidRPr="00ED6C4F">
        <w:rPr>
          <w:rFonts w:ascii="Times New Roman" w:hAnsi="Times New Roman" w:cs="Times New Roman"/>
        </w:rPr>
        <w:t xml:space="preserve"> </w:t>
      </w:r>
      <w:r w:rsidR="00ED6C4F" w:rsidRPr="00ED6C4F">
        <w:rPr>
          <w:rFonts w:ascii="Times New Roman" w:hAnsi="Times New Roman" w:cs="Times New Roman"/>
          <w:b/>
          <w:bCs/>
        </w:rPr>
        <w:t>două obstacole co-dominante</w:t>
      </w:r>
      <w:r w:rsidR="00ED6C4F" w:rsidRPr="00ED6C4F">
        <w:rPr>
          <w:rFonts w:ascii="Times New Roman" w:hAnsi="Times New Roman" w:cs="Times New Roman"/>
        </w:rPr>
        <w:t xml:space="preserve">: </w:t>
      </w:r>
      <w:r w:rsidR="00ED6C4F" w:rsidRPr="00ED6C4F">
        <w:rPr>
          <w:rFonts w:ascii="Times New Roman" w:hAnsi="Times New Roman" w:cs="Times New Roman"/>
          <w:b/>
          <w:bCs/>
        </w:rPr>
        <w:t>lipsa finanțării – 29,73%</w:t>
      </w:r>
      <w:r w:rsidR="00ED6C4F" w:rsidRPr="00ED6C4F">
        <w:rPr>
          <w:rFonts w:ascii="Times New Roman" w:hAnsi="Times New Roman" w:cs="Times New Roman"/>
        </w:rPr>
        <w:t xml:space="preserve"> și </w:t>
      </w:r>
      <w:r w:rsidR="00ED6C4F" w:rsidRPr="00ED6C4F">
        <w:rPr>
          <w:rFonts w:ascii="Times New Roman" w:hAnsi="Times New Roman" w:cs="Times New Roman"/>
          <w:b/>
          <w:bCs/>
        </w:rPr>
        <w:t>lipsa unei viziuni strategice coerente – 29,73%</w:t>
      </w:r>
      <w:r w:rsidR="00ED6C4F" w:rsidRPr="00ED6C4F">
        <w:rPr>
          <w:rFonts w:ascii="Times New Roman" w:hAnsi="Times New Roman" w:cs="Times New Roman"/>
        </w:rPr>
        <w:t xml:space="preserve">. Urmează </w:t>
      </w:r>
      <w:r w:rsidR="00ED6C4F" w:rsidRPr="00ED6C4F">
        <w:rPr>
          <w:rFonts w:ascii="Times New Roman" w:hAnsi="Times New Roman" w:cs="Times New Roman"/>
          <w:b/>
          <w:bCs/>
        </w:rPr>
        <w:t>lipsa coordonării între instituții – 20,27%</w:t>
      </w:r>
      <w:r w:rsidR="00ED6C4F" w:rsidRPr="00ED6C4F">
        <w:rPr>
          <w:rFonts w:ascii="Times New Roman" w:hAnsi="Times New Roman" w:cs="Times New Roman"/>
        </w:rPr>
        <w:t xml:space="preserve"> și </w:t>
      </w:r>
      <w:r w:rsidR="00ED6C4F" w:rsidRPr="00ED6C4F">
        <w:rPr>
          <w:rFonts w:ascii="Times New Roman" w:hAnsi="Times New Roman" w:cs="Times New Roman"/>
          <w:b/>
          <w:bCs/>
        </w:rPr>
        <w:t>infrastructura existentă depășită – 17,57%</w:t>
      </w:r>
      <w:r w:rsidR="00ED6C4F" w:rsidRPr="00ED6C4F">
        <w:rPr>
          <w:rFonts w:ascii="Times New Roman" w:hAnsi="Times New Roman" w:cs="Times New Roman"/>
        </w:rPr>
        <w:t xml:space="preserve">; categoria </w:t>
      </w:r>
      <w:r w:rsidR="00ED6C4F" w:rsidRPr="00ED6C4F">
        <w:rPr>
          <w:rFonts w:ascii="Times New Roman" w:hAnsi="Times New Roman" w:cs="Times New Roman"/>
          <w:b/>
          <w:bCs/>
        </w:rPr>
        <w:t>„Altele” – 2,70%</w:t>
      </w:r>
      <w:r w:rsidR="00ED6C4F" w:rsidRPr="00ED6C4F">
        <w:rPr>
          <w:rFonts w:ascii="Times New Roman" w:hAnsi="Times New Roman" w:cs="Times New Roman"/>
        </w:rPr>
        <w:t xml:space="preserve"> menționează explicit </w:t>
      </w:r>
      <w:r w:rsidR="00ED6C4F" w:rsidRPr="00ED6C4F">
        <w:rPr>
          <w:rFonts w:ascii="Times New Roman" w:hAnsi="Times New Roman" w:cs="Times New Roman"/>
          <w:b/>
          <w:bCs/>
        </w:rPr>
        <w:t>„lipsa colaborării mediu privat–instituții publice”</w:t>
      </w:r>
      <w:r w:rsidR="00ED6C4F" w:rsidRPr="00ED6C4F">
        <w:rPr>
          <w:rFonts w:ascii="Times New Roman" w:hAnsi="Times New Roman" w:cs="Times New Roman"/>
        </w:rPr>
        <w:t xml:space="preserve"> și </w:t>
      </w:r>
      <w:r w:rsidR="00ED6C4F" w:rsidRPr="00ED6C4F">
        <w:rPr>
          <w:rFonts w:ascii="Times New Roman" w:hAnsi="Times New Roman" w:cs="Times New Roman"/>
          <w:b/>
          <w:bCs/>
        </w:rPr>
        <w:t>„birocrație excesivă și legislație inadecvată”</w:t>
      </w:r>
      <w:r w:rsidR="00ED6C4F" w:rsidRPr="00ED6C4F">
        <w:rPr>
          <w:rFonts w:ascii="Times New Roman" w:hAnsi="Times New Roman" w:cs="Times New Roman"/>
        </w:rPr>
        <w:t>.</w:t>
      </w:r>
    </w:p>
    <w:p w14:paraId="5EA4C9A9" w14:textId="13B62C50" w:rsidR="00ED6C4F" w:rsidRPr="002E0C1B" w:rsidRDefault="00ED6C4F" w:rsidP="002E0C1B">
      <w:pPr>
        <w:spacing w:before="120" w:after="120" w:line="240" w:lineRule="auto"/>
        <w:jc w:val="both"/>
        <w:rPr>
          <w:rFonts w:ascii="Times New Roman" w:hAnsi="Times New Roman" w:cs="Times New Roman"/>
        </w:rPr>
      </w:pPr>
      <w:r w:rsidRPr="00ED6C4F">
        <w:rPr>
          <w:rFonts w:ascii="Times New Roman" w:hAnsi="Times New Roman" w:cs="Times New Roman"/>
        </w:rPr>
        <w:t xml:space="preserve">Prin urmare, </w:t>
      </w:r>
      <w:r w:rsidRPr="00ED6C4F">
        <w:rPr>
          <w:rFonts w:ascii="Times New Roman" w:hAnsi="Times New Roman" w:cs="Times New Roman"/>
          <w:b/>
          <w:bCs/>
        </w:rPr>
        <w:t>barierelor de guvernanță</w:t>
      </w:r>
      <w:r w:rsidRPr="00ED6C4F">
        <w:rPr>
          <w:rFonts w:ascii="Times New Roman" w:hAnsi="Times New Roman" w:cs="Times New Roman"/>
        </w:rPr>
        <w:t xml:space="preserve"> (finanțare, viziune, coordonare) le revin </w:t>
      </w:r>
      <w:r w:rsidRPr="00ED6C4F">
        <w:rPr>
          <w:rFonts w:ascii="Times New Roman" w:hAnsi="Times New Roman" w:cs="Times New Roman"/>
          <w:b/>
          <w:bCs/>
        </w:rPr>
        <w:t>79,73%</w:t>
      </w:r>
      <w:r w:rsidRPr="00ED6C4F">
        <w:rPr>
          <w:rFonts w:ascii="Times New Roman" w:hAnsi="Times New Roman" w:cs="Times New Roman"/>
        </w:rPr>
        <w:t xml:space="preserve"> din răspunsuri, depășind net componenta </w:t>
      </w:r>
      <w:r w:rsidRPr="00ED6C4F">
        <w:rPr>
          <w:rFonts w:ascii="Times New Roman" w:hAnsi="Times New Roman" w:cs="Times New Roman"/>
          <w:b/>
          <w:bCs/>
        </w:rPr>
        <w:t>fizică</w:t>
      </w:r>
      <w:r w:rsidRPr="00ED6C4F">
        <w:rPr>
          <w:rFonts w:ascii="Times New Roman" w:hAnsi="Times New Roman" w:cs="Times New Roman"/>
        </w:rPr>
        <w:t xml:space="preserve"> a problemei (starea infrastructurii – </w:t>
      </w:r>
      <w:r w:rsidRPr="00ED6C4F">
        <w:rPr>
          <w:rFonts w:ascii="Times New Roman" w:hAnsi="Times New Roman" w:cs="Times New Roman"/>
          <w:b/>
          <w:bCs/>
        </w:rPr>
        <w:t>17,57%</w:t>
      </w:r>
      <w:r w:rsidRPr="00ED6C4F">
        <w:rPr>
          <w:rFonts w:ascii="Times New Roman" w:hAnsi="Times New Roman" w:cs="Times New Roman"/>
        </w:rPr>
        <w:t xml:space="preserve">). Pentru un teritoriu ca </w:t>
      </w:r>
      <w:r w:rsidRPr="00ED6C4F">
        <w:rPr>
          <w:rFonts w:ascii="Times New Roman" w:hAnsi="Times New Roman" w:cs="Times New Roman"/>
          <w:b/>
          <w:bCs/>
        </w:rPr>
        <w:t>Tulcea</w:t>
      </w:r>
      <w:r w:rsidRPr="00ED6C4F">
        <w:rPr>
          <w:rFonts w:ascii="Times New Roman" w:hAnsi="Times New Roman" w:cs="Times New Roman"/>
        </w:rPr>
        <w:t xml:space="preserve">, cu </w:t>
      </w:r>
      <w:r w:rsidRPr="00ED6C4F">
        <w:rPr>
          <w:rFonts w:ascii="Times New Roman" w:hAnsi="Times New Roman" w:cs="Times New Roman"/>
          <w:b/>
          <w:bCs/>
        </w:rPr>
        <w:t>așezări dispersate</w:t>
      </w:r>
      <w:r w:rsidRPr="00ED6C4F">
        <w:rPr>
          <w:rFonts w:ascii="Times New Roman" w:hAnsi="Times New Roman" w:cs="Times New Roman"/>
        </w:rPr>
        <w:t xml:space="preserve"> și </w:t>
      </w:r>
      <w:r w:rsidRPr="00ED6C4F">
        <w:rPr>
          <w:rFonts w:ascii="Times New Roman" w:hAnsi="Times New Roman" w:cs="Times New Roman"/>
          <w:b/>
          <w:bCs/>
        </w:rPr>
        <w:t>dependență de interconectarea rutier–naval–feroviar–aerian</w:t>
      </w:r>
      <w:r w:rsidRPr="00ED6C4F">
        <w:rPr>
          <w:rFonts w:ascii="Times New Roman" w:hAnsi="Times New Roman" w:cs="Times New Roman"/>
        </w:rPr>
        <w:t xml:space="preserve">, această structură sugerează că dificultățile percepute privesc în primul rând </w:t>
      </w:r>
      <w:r w:rsidRPr="00ED6C4F">
        <w:rPr>
          <w:rFonts w:ascii="Times New Roman" w:hAnsi="Times New Roman" w:cs="Times New Roman"/>
          <w:b/>
          <w:bCs/>
        </w:rPr>
        <w:t>capacitatea de organizare și integrare</w:t>
      </w:r>
      <w:r w:rsidRPr="00ED6C4F">
        <w:rPr>
          <w:rFonts w:ascii="Times New Roman" w:hAnsi="Times New Roman" w:cs="Times New Roman"/>
        </w:rPr>
        <w:t>, nu doar calitatea rețelei existente.</w:t>
      </w:r>
    </w:p>
    <w:p w14:paraId="59079B20" w14:textId="525DE6A5" w:rsidR="00BE61BB" w:rsidRPr="006B0B71" w:rsidRDefault="00BE61BB" w:rsidP="002E0C1B">
      <w:pPr>
        <w:spacing w:before="120" w:after="120" w:line="240" w:lineRule="auto"/>
        <w:jc w:val="both"/>
        <w:rPr>
          <w:rFonts w:ascii="Times New Roman" w:hAnsi="Times New Roman" w:cs="Times New Roman"/>
          <w:b/>
          <w:bCs/>
        </w:rPr>
      </w:pPr>
      <w:r w:rsidRPr="006B0B71">
        <w:rPr>
          <w:rFonts w:ascii="Times New Roman" w:hAnsi="Times New Roman" w:cs="Times New Roman"/>
          <w:b/>
          <w:bCs/>
        </w:rPr>
        <w:t>15. Care considerați că sunt legăturile de transport cele mai slab dezvoltate în județul Tulcea, din perspectiva conectării între moduri de transport?</w:t>
      </w:r>
    </w:p>
    <w:p w14:paraId="2D88E601" w14:textId="55DD4D39" w:rsidR="00BE61BB" w:rsidRPr="00BE61BB" w:rsidRDefault="00ED6C4F" w:rsidP="002E0C1B">
      <w:pPr>
        <w:spacing w:before="120" w:after="120" w:line="240" w:lineRule="auto"/>
        <w:jc w:val="both"/>
        <w:rPr>
          <w:rFonts w:ascii="Times New Roman" w:hAnsi="Times New Roman" w:cs="Times New Roman"/>
        </w:rPr>
      </w:pPr>
      <w:r w:rsidRPr="002E0C1B">
        <w:rPr>
          <w:rFonts w:ascii="Times New Roman" w:hAnsi="Times New Roman" w:cs="Times New Roman"/>
          <w:noProof/>
          <w:lang w:eastAsia="ro-RO"/>
        </w:rPr>
        <w:drawing>
          <wp:inline distT="0" distB="0" distL="0" distR="0" wp14:anchorId="25E85D66" wp14:editId="79C1D2F0">
            <wp:extent cx="6000750" cy="3086100"/>
            <wp:effectExtent l="0" t="0" r="0" b="0"/>
            <wp:docPr id="943703550"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44C41D-5251-3205-02B3-0432EA236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8BF8CC" w14:textId="3C91CBAB" w:rsidR="006B0B71" w:rsidRPr="002E0C1B" w:rsidRDefault="006B0B71" w:rsidP="006B0B71">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15</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Pr>
          <w:rFonts w:ascii="Times New Roman" w:hAnsi="Times New Roman" w:cs="Times New Roman"/>
          <w:b/>
          <w:bCs/>
        </w:rPr>
        <w:t xml:space="preserve">Percepția respondenților cu privire la </w:t>
      </w:r>
      <w:r w:rsidR="005B2670" w:rsidRPr="005B2670">
        <w:rPr>
          <w:rFonts w:ascii="Times New Roman" w:hAnsi="Times New Roman" w:cs="Times New Roman"/>
          <w:b/>
          <w:bCs/>
        </w:rPr>
        <w:t>legăturile de transport slab dezvoltate în județul Tulcea, din perspectiva conectării între moduri de transport</w:t>
      </w:r>
    </w:p>
    <w:p w14:paraId="09D4AED0" w14:textId="77777777" w:rsidR="006B0B71" w:rsidRPr="002E0C1B" w:rsidRDefault="006B0B71" w:rsidP="006B0B71">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61B3362F" w14:textId="161E9EDA" w:rsidR="00ED6C4F" w:rsidRPr="003B6AF3" w:rsidRDefault="005B2670" w:rsidP="006B0B71">
      <w:pPr>
        <w:pStyle w:val="NormalWeb"/>
        <w:spacing w:before="120" w:beforeAutospacing="0" w:after="120" w:afterAutospacing="0"/>
        <w:jc w:val="both"/>
        <w:rPr>
          <w:spacing w:val="-2"/>
          <w:sz w:val="22"/>
          <w:szCs w:val="22"/>
          <w:lang w:val="ro-RO"/>
        </w:rPr>
      </w:pPr>
      <w:r w:rsidRPr="003B6AF3">
        <w:rPr>
          <w:spacing w:val="-2"/>
          <w:sz w:val="22"/>
          <w:szCs w:val="22"/>
          <w:lang w:val="ro-RO"/>
        </w:rPr>
        <w:t>Datele colectate pun în evidență</w:t>
      </w:r>
      <w:r w:rsidR="00ED6C4F" w:rsidRPr="003B6AF3">
        <w:rPr>
          <w:spacing w:val="-2"/>
          <w:sz w:val="22"/>
          <w:szCs w:val="22"/>
          <w:lang w:val="ro-RO"/>
        </w:rPr>
        <w:t xml:space="preserve"> </w:t>
      </w:r>
      <w:r w:rsidRPr="003B6AF3">
        <w:rPr>
          <w:rStyle w:val="Robust"/>
          <w:rFonts w:eastAsiaTheme="majorEastAsia"/>
          <w:spacing w:val="-2"/>
          <w:sz w:val="22"/>
          <w:szCs w:val="22"/>
          <w:lang w:val="ro-RO"/>
        </w:rPr>
        <w:t>slaba dezvoltare</w:t>
      </w:r>
      <w:r w:rsidR="00ED6C4F" w:rsidRPr="003B6AF3">
        <w:rPr>
          <w:rStyle w:val="Robust"/>
          <w:rFonts w:eastAsiaTheme="majorEastAsia"/>
          <w:spacing w:val="-2"/>
          <w:sz w:val="22"/>
          <w:szCs w:val="22"/>
          <w:lang w:val="ro-RO"/>
        </w:rPr>
        <w:t xml:space="preserve"> a</w:t>
      </w:r>
      <w:r w:rsidRPr="003B6AF3">
        <w:rPr>
          <w:rStyle w:val="Robust"/>
          <w:rFonts w:eastAsiaTheme="majorEastAsia"/>
          <w:spacing w:val="-2"/>
          <w:sz w:val="22"/>
          <w:szCs w:val="22"/>
          <w:lang w:val="ro-RO"/>
        </w:rPr>
        <w:t xml:space="preserve"> </w:t>
      </w:r>
      <w:r w:rsidR="00ED6C4F" w:rsidRPr="003B6AF3">
        <w:rPr>
          <w:rStyle w:val="Robust"/>
          <w:rFonts w:eastAsiaTheme="majorEastAsia"/>
          <w:spacing w:val="-2"/>
          <w:sz w:val="22"/>
          <w:szCs w:val="22"/>
          <w:lang w:val="ro-RO"/>
        </w:rPr>
        <w:t>conectării intermodale</w:t>
      </w:r>
      <w:r w:rsidR="00ED6C4F" w:rsidRPr="003B6AF3">
        <w:rPr>
          <w:spacing w:val="-2"/>
          <w:sz w:val="22"/>
          <w:szCs w:val="22"/>
          <w:lang w:val="ro-RO"/>
        </w:rPr>
        <w:t xml:space="preserve"> </w:t>
      </w:r>
      <w:r w:rsidRPr="003B6AF3">
        <w:rPr>
          <w:spacing w:val="-2"/>
          <w:sz w:val="22"/>
          <w:szCs w:val="22"/>
          <w:lang w:val="ro-RO"/>
        </w:rPr>
        <w:t xml:space="preserve">în </w:t>
      </w:r>
      <w:r w:rsidR="00ED6C4F" w:rsidRPr="003B6AF3">
        <w:rPr>
          <w:spacing w:val="-2"/>
          <w:sz w:val="22"/>
          <w:szCs w:val="22"/>
          <w:lang w:val="ro-RO"/>
        </w:rPr>
        <w:t xml:space="preserve">relațiile care implică </w:t>
      </w:r>
      <w:r w:rsidR="00ED6C4F" w:rsidRPr="003B6AF3">
        <w:rPr>
          <w:rStyle w:val="Robust"/>
          <w:rFonts w:eastAsiaTheme="majorEastAsia"/>
          <w:spacing w:val="-2"/>
          <w:sz w:val="22"/>
          <w:szCs w:val="22"/>
          <w:lang w:val="ro-RO"/>
        </w:rPr>
        <w:t>aerianul</w:t>
      </w:r>
      <w:r w:rsidR="00ED6C4F" w:rsidRPr="003B6AF3">
        <w:rPr>
          <w:spacing w:val="-2"/>
          <w:sz w:val="22"/>
          <w:szCs w:val="22"/>
          <w:lang w:val="ro-RO"/>
        </w:rPr>
        <w:t xml:space="preserve"> și </w:t>
      </w:r>
      <w:r w:rsidR="00ED6C4F" w:rsidRPr="003B6AF3">
        <w:rPr>
          <w:rStyle w:val="Robust"/>
          <w:rFonts w:eastAsiaTheme="majorEastAsia"/>
          <w:spacing w:val="-2"/>
          <w:sz w:val="22"/>
          <w:szCs w:val="22"/>
          <w:lang w:val="ro-RO"/>
        </w:rPr>
        <w:t>feroviarul</w:t>
      </w:r>
      <w:r w:rsidR="00ED6C4F" w:rsidRPr="003B6AF3">
        <w:rPr>
          <w:spacing w:val="-2"/>
          <w:sz w:val="22"/>
          <w:szCs w:val="22"/>
          <w:lang w:val="ro-RO"/>
        </w:rPr>
        <w:t>. Cele mai multe mențiuni privesc</w:t>
      </w:r>
      <w:r w:rsidR="003B6AF3" w:rsidRPr="003B6AF3">
        <w:rPr>
          <w:spacing w:val="-2"/>
          <w:sz w:val="22"/>
          <w:szCs w:val="22"/>
          <w:lang w:val="ro-RO"/>
        </w:rPr>
        <w:t xml:space="preserve"> conectivitatea</w:t>
      </w:r>
      <w:r w:rsidR="00ED6C4F" w:rsidRPr="003B6AF3">
        <w:rPr>
          <w:spacing w:val="-2"/>
          <w:sz w:val="22"/>
          <w:szCs w:val="22"/>
          <w:lang w:val="ro-RO"/>
        </w:rPr>
        <w:t xml:space="preserve"> </w:t>
      </w:r>
      <w:r w:rsidR="00ED6C4F" w:rsidRPr="003B6AF3">
        <w:rPr>
          <w:rStyle w:val="Robust"/>
          <w:rFonts w:eastAsiaTheme="majorEastAsia"/>
          <w:spacing w:val="-2"/>
          <w:sz w:val="22"/>
          <w:szCs w:val="22"/>
          <w:lang w:val="ro-RO"/>
        </w:rPr>
        <w:t>Naval ↔ Feroviar – 18,82%</w:t>
      </w:r>
      <w:r w:rsidR="00ED6C4F" w:rsidRPr="003B6AF3">
        <w:rPr>
          <w:spacing w:val="-2"/>
          <w:sz w:val="22"/>
          <w:szCs w:val="22"/>
          <w:lang w:val="ro-RO"/>
        </w:rPr>
        <w:t xml:space="preserve">, urmate de </w:t>
      </w:r>
      <w:r w:rsidR="00ED6C4F" w:rsidRPr="003B6AF3">
        <w:rPr>
          <w:rStyle w:val="Robust"/>
          <w:rFonts w:eastAsiaTheme="majorEastAsia"/>
          <w:spacing w:val="-2"/>
          <w:sz w:val="22"/>
          <w:szCs w:val="22"/>
          <w:lang w:val="ro-RO"/>
        </w:rPr>
        <w:t>Rutier ↔ Aerian (Aeroport Tulcea) – 17,65%</w:t>
      </w:r>
      <w:r w:rsidR="00ED6C4F" w:rsidRPr="003B6AF3">
        <w:rPr>
          <w:spacing w:val="-2"/>
          <w:sz w:val="22"/>
          <w:szCs w:val="22"/>
          <w:lang w:val="ro-RO"/>
        </w:rPr>
        <w:t xml:space="preserve"> și </w:t>
      </w:r>
      <w:r w:rsidR="00ED6C4F" w:rsidRPr="003B6AF3">
        <w:rPr>
          <w:rStyle w:val="Robust"/>
          <w:rFonts w:eastAsiaTheme="majorEastAsia"/>
          <w:spacing w:val="-2"/>
          <w:sz w:val="22"/>
          <w:szCs w:val="22"/>
          <w:lang w:val="ro-RO"/>
        </w:rPr>
        <w:t>Feroviar ↔ Aerian – 16,47%</w:t>
      </w:r>
      <w:r w:rsidR="00ED6C4F" w:rsidRPr="003B6AF3">
        <w:rPr>
          <w:spacing w:val="-2"/>
          <w:sz w:val="22"/>
          <w:szCs w:val="22"/>
          <w:lang w:val="ro-RO"/>
        </w:rPr>
        <w:t xml:space="preserve">. Împreună, aceste opțiuni conturează un deficit de integrare între </w:t>
      </w:r>
      <w:r w:rsidR="00ED6C4F" w:rsidRPr="003B6AF3">
        <w:rPr>
          <w:rStyle w:val="Robust"/>
          <w:rFonts w:eastAsiaTheme="majorEastAsia"/>
          <w:spacing w:val="-2"/>
          <w:sz w:val="22"/>
          <w:szCs w:val="22"/>
          <w:lang w:val="ro-RO"/>
        </w:rPr>
        <w:t>port–gară–aeroport</w:t>
      </w:r>
      <w:r w:rsidR="00ED6C4F" w:rsidRPr="003B6AF3">
        <w:rPr>
          <w:spacing w:val="-2"/>
          <w:sz w:val="22"/>
          <w:szCs w:val="22"/>
          <w:lang w:val="ro-RO"/>
        </w:rPr>
        <w:t xml:space="preserve">, esențial pentru un nod regional. La acestea se adaugă </w:t>
      </w:r>
      <w:r w:rsidR="00ED6C4F" w:rsidRPr="003B6AF3">
        <w:rPr>
          <w:rStyle w:val="Robust"/>
          <w:rFonts w:eastAsiaTheme="majorEastAsia"/>
          <w:spacing w:val="-2"/>
          <w:sz w:val="22"/>
          <w:szCs w:val="22"/>
          <w:lang w:val="ro-RO"/>
        </w:rPr>
        <w:t>Rutier ↔ Naval – 11,76%</w:t>
      </w:r>
      <w:r w:rsidR="00ED6C4F" w:rsidRPr="003B6AF3">
        <w:rPr>
          <w:spacing w:val="-2"/>
          <w:sz w:val="22"/>
          <w:szCs w:val="22"/>
          <w:lang w:val="ro-RO"/>
        </w:rPr>
        <w:t>, care reflectă dificultatea de a lega fluxurile rutiere de cele pe apă.</w:t>
      </w:r>
    </w:p>
    <w:p w14:paraId="33329FB0" w14:textId="62D07447" w:rsidR="00ED6C4F" w:rsidRPr="002E0C1B" w:rsidRDefault="00ED6C4F" w:rsidP="006B0B71">
      <w:pPr>
        <w:pStyle w:val="NormalWeb"/>
        <w:spacing w:before="120" w:beforeAutospacing="0" w:after="120" w:afterAutospacing="0"/>
        <w:jc w:val="both"/>
        <w:rPr>
          <w:sz w:val="22"/>
          <w:szCs w:val="22"/>
          <w:lang w:val="ro-RO"/>
        </w:rPr>
      </w:pPr>
      <w:r w:rsidRPr="002E0C1B">
        <w:rPr>
          <w:sz w:val="22"/>
          <w:szCs w:val="22"/>
          <w:lang w:val="ro-RO"/>
        </w:rPr>
        <w:t xml:space="preserve">Componenta </w:t>
      </w:r>
      <w:r w:rsidRPr="002E0C1B">
        <w:rPr>
          <w:rStyle w:val="Robust"/>
          <w:rFonts w:eastAsiaTheme="majorEastAsia"/>
          <w:sz w:val="22"/>
          <w:szCs w:val="22"/>
          <w:lang w:val="ro-RO"/>
        </w:rPr>
        <w:t>structurală</w:t>
      </w:r>
      <w:r w:rsidRPr="002E0C1B">
        <w:rPr>
          <w:sz w:val="22"/>
          <w:szCs w:val="22"/>
          <w:lang w:val="ro-RO"/>
        </w:rPr>
        <w:t xml:space="preserve"> este semnalată explicit prin </w:t>
      </w:r>
      <w:r w:rsidRPr="002E0C1B">
        <w:rPr>
          <w:rStyle w:val="Robust"/>
          <w:rFonts w:eastAsiaTheme="majorEastAsia"/>
          <w:sz w:val="22"/>
          <w:szCs w:val="22"/>
          <w:lang w:val="ro-RO"/>
        </w:rPr>
        <w:t>„Lipsă terminale intermodale / hub logistic regional – 12,94%”</w:t>
      </w:r>
      <w:r w:rsidRPr="002E0C1B">
        <w:rPr>
          <w:sz w:val="22"/>
          <w:szCs w:val="22"/>
          <w:lang w:val="ro-RO"/>
        </w:rPr>
        <w:t xml:space="preserve">, iar </w:t>
      </w:r>
      <w:r w:rsidRPr="002E0C1B">
        <w:rPr>
          <w:rStyle w:val="Robust"/>
          <w:rFonts w:eastAsiaTheme="majorEastAsia"/>
          <w:sz w:val="22"/>
          <w:szCs w:val="22"/>
          <w:lang w:val="ro-RO"/>
        </w:rPr>
        <w:t>Rutier ↔ Transport turistic/Delta – 12,94%</w:t>
      </w:r>
      <w:r w:rsidRPr="002E0C1B">
        <w:rPr>
          <w:sz w:val="22"/>
          <w:szCs w:val="22"/>
          <w:lang w:val="ro-RO"/>
        </w:rPr>
        <w:t xml:space="preserve"> evidențiază problemele de </w:t>
      </w:r>
      <w:r w:rsidRPr="002E0C1B">
        <w:rPr>
          <w:rStyle w:val="Robust"/>
          <w:rFonts w:eastAsiaTheme="majorEastAsia"/>
          <w:sz w:val="22"/>
          <w:szCs w:val="22"/>
          <w:lang w:val="ro-RO"/>
        </w:rPr>
        <w:t>acces la pontoane și porturi</w:t>
      </w:r>
      <w:r w:rsidRPr="002E0C1B">
        <w:rPr>
          <w:sz w:val="22"/>
          <w:szCs w:val="22"/>
          <w:lang w:val="ro-RO"/>
        </w:rPr>
        <w:t xml:space="preserve"> pentru traficul spre localitățile din </w:t>
      </w:r>
      <w:r w:rsidRPr="002E0C1B">
        <w:rPr>
          <w:rStyle w:val="Robust"/>
          <w:rFonts w:eastAsiaTheme="majorEastAsia"/>
          <w:sz w:val="22"/>
          <w:szCs w:val="22"/>
          <w:lang w:val="ro-RO"/>
        </w:rPr>
        <w:t>Delta Dunării</w:t>
      </w:r>
      <w:r w:rsidRPr="002E0C1B">
        <w:rPr>
          <w:sz w:val="22"/>
          <w:szCs w:val="22"/>
          <w:lang w:val="ro-RO"/>
        </w:rPr>
        <w:t xml:space="preserve">. Integrarea </w:t>
      </w:r>
      <w:r w:rsidRPr="002E0C1B">
        <w:rPr>
          <w:rStyle w:val="Robust"/>
          <w:rFonts w:eastAsiaTheme="majorEastAsia"/>
          <w:sz w:val="22"/>
          <w:szCs w:val="22"/>
          <w:lang w:val="ro-RO"/>
        </w:rPr>
        <w:t>transportului public local cu celelalte moduri – 7,06%</w:t>
      </w:r>
      <w:r w:rsidRPr="002E0C1B">
        <w:rPr>
          <w:sz w:val="22"/>
          <w:szCs w:val="22"/>
          <w:lang w:val="ro-RO"/>
        </w:rPr>
        <w:t xml:space="preserve"> rămâne </w:t>
      </w:r>
      <w:r w:rsidR="003B6AF3">
        <w:rPr>
          <w:sz w:val="22"/>
          <w:szCs w:val="22"/>
          <w:lang w:val="ro-RO"/>
        </w:rPr>
        <w:t xml:space="preserve">o problemă </w:t>
      </w:r>
      <w:r w:rsidRPr="002E0C1B">
        <w:rPr>
          <w:sz w:val="22"/>
          <w:szCs w:val="22"/>
          <w:lang w:val="ro-RO"/>
        </w:rPr>
        <w:t xml:space="preserve">marginală. În ansamblu, rezultatele trimit la nevoia de </w:t>
      </w:r>
      <w:r w:rsidR="003B6AF3">
        <w:rPr>
          <w:sz w:val="22"/>
          <w:szCs w:val="22"/>
          <w:lang w:val="ro-RO"/>
        </w:rPr>
        <w:t xml:space="preserve">realizare a unor </w:t>
      </w:r>
      <w:r w:rsidRPr="002E0C1B">
        <w:rPr>
          <w:rStyle w:val="Robust"/>
          <w:rFonts w:eastAsiaTheme="majorEastAsia"/>
          <w:sz w:val="22"/>
          <w:szCs w:val="22"/>
          <w:lang w:val="ro-RO"/>
        </w:rPr>
        <w:t>conexiuni funcționale între porturile Tulcea/Sulina, gara și aeroport</w:t>
      </w:r>
      <w:r w:rsidRPr="002E0C1B">
        <w:rPr>
          <w:sz w:val="22"/>
          <w:szCs w:val="22"/>
          <w:lang w:val="ro-RO"/>
        </w:rPr>
        <w:t xml:space="preserve">, precum și la </w:t>
      </w:r>
      <w:r w:rsidRPr="002E0C1B">
        <w:rPr>
          <w:rStyle w:val="Robust"/>
          <w:rFonts w:eastAsiaTheme="majorEastAsia"/>
          <w:sz w:val="22"/>
          <w:szCs w:val="22"/>
          <w:lang w:val="ro-RO"/>
        </w:rPr>
        <w:t>puncte de transfer rutier–naval</w:t>
      </w:r>
      <w:r w:rsidRPr="002E0C1B">
        <w:rPr>
          <w:sz w:val="22"/>
          <w:szCs w:val="22"/>
          <w:lang w:val="ro-RO"/>
        </w:rPr>
        <w:t>.</w:t>
      </w:r>
    </w:p>
    <w:p w14:paraId="13C08B66" w14:textId="42A89E1E" w:rsidR="00CE0712" w:rsidRPr="00F44BB4" w:rsidRDefault="00CE0712" w:rsidP="00EC7CDB">
      <w:pPr>
        <w:pStyle w:val="NormalWeb"/>
        <w:spacing w:before="120" w:beforeAutospacing="0" w:after="120" w:afterAutospacing="0"/>
        <w:jc w:val="both"/>
        <w:rPr>
          <w:b/>
          <w:bCs/>
          <w:sz w:val="22"/>
          <w:szCs w:val="22"/>
          <w:lang w:val="ro-RO"/>
        </w:rPr>
      </w:pPr>
      <w:r w:rsidRPr="00F44BB4">
        <w:rPr>
          <w:b/>
          <w:bCs/>
          <w:sz w:val="22"/>
          <w:szCs w:val="22"/>
          <w:lang w:val="ro-RO"/>
        </w:rPr>
        <w:lastRenderedPageBreak/>
        <w:t>16. Care sunt principalele direcții de flux transfrontalier de mărfuri sau pasageri în care este implicat județul Tulcea?</w:t>
      </w:r>
    </w:p>
    <w:p w14:paraId="66DA51ED" w14:textId="0C562B48" w:rsidR="00CE0712" w:rsidRDefault="00CE0712" w:rsidP="002E0C1B">
      <w:pPr>
        <w:pStyle w:val="NormalWeb"/>
        <w:spacing w:before="120" w:beforeAutospacing="0" w:after="120" w:afterAutospacing="0"/>
        <w:rPr>
          <w:sz w:val="22"/>
          <w:szCs w:val="22"/>
          <w:lang w:val="ro-RO"/>
        </w:rPr>
      </w:pPr>
      <w:r w:rsidRPr="002E0C1B">
        <w:rPr>
          <w:noProof/>
          <w:sz w:val="22"/>
          <w:szCs w:val="22"/>
          <w:lang w:val="ro-RO" w:eastAsia="ro-RO"/>
        </w:rPr>
        <w:drawing>
          <wp:inline distT="0" distB="0" distL="0" distR="0" wp14:anchorId="60C71EE1" wp14:editId="3F3F5E0B">
            <wp:extent cx="6000750" cy="1685925"/>
            <wp:effectExtent l="0" t="0" r="0" b="0"/>
            <wp:docPr id="1335721595"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BD175E-7C5D-6918-E678-70A66FF29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7DE785" w14:textId="65B8F825" w:rsidR="00F44BB4" w:rsidRPr="002E0C1B" w:rsidRDefault="00F44BB4" w:rsidP="00F44BB4">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16</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sidR="00EC7CDB">
        <w:rPr>
          <w:rFonts w:ascii="Times New Roman" w:hAnsi="Times New Roman" w:cs="Times New Roman"/>
          <w:b/>
          <w:bCs/>
        </w:rPr>
        <w:t>P</w:t>
      </w:r>
      <w:r w:rsidR="00EC7CDB" w:rsidRPr="00EC7CDB">
        <w:rPr>
          <w:rFonts w:ascii="Times New Roman" w:hAnsi="Times New Roman" w:cs="Times New Roman"/>
          <w:b/>
          <w:bCs/>
        </w:rPr>
        <w:t>rincipalele direcții de flux transfrontalier de mărfuri sau pasageri în care este implicat județul Tulcea</w:t>
      </w:r>
    </w:p>
    <w:p w14:paraId="7327C3F0" w14:textId="77777777" w:rsidR="00F44BB4" w:rsidRPr="002E0C1B" w:rsidRDefault="00F44BB4" w:rsidP="00F44BB4">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503ED456" w14:textId="581B830A" w:rsidR="00CE0712" w:rsidRPr="00CE0712" w:rsidRDefault="00EC7CDB" w:rsidP="002E0C1B">
      <w:pPr>
        <w:spacing w:before="120" w:after="120" w:line="240" w:lineRule="auto"/>
        <w:jc w:val="both"/>
        <w:rPr>
          <w:rFonts w:ascii="Times New Roman" w:hAnsi="Times New Roman" w:cs="Times New Roman"/>
        </w:rPr>
      </w:pPr>
      <w:r>
        <w:rPr>
          <w:rFonts w:ascii="Times New Roman" w:hAnsi="Times New Roman" w:cs="Times New Roman"/>
        </w:rPr>
        <w:t>Datele</w:t>
      </w:r>
      <w:r w:rsidR="00CE0712" w:rsidRPr="00CE0712">
        <w:rPr>
          <w:rFonts w:ascii="Times New Roman" w:hAnsi="Times New Roman" w:cs="Times New Roman"/>
        </w:rPr>
        <w:t xml:space="preserve"> indică o orientare a fluxurilor </w:t>
      </w:r>
      <w:r w:rsidR="00CE0712" w:rsidRPr="00CE0712">
        <w:rPr>
          <w:rFonts w:ascii="Times New Roman" w:hAnsi="Times New Roman" w:cs="Times New Roman"/>
          <w:b/>
          <w:bCs/>
        </w:rPr>
        <w:t>pe axa dunăreană și spre Marea Neagră</w:t>
      </w:r>
      <w:r w:rsidR="00CE0712" w:rsidRPr="00CE0712">
        <w:rPr>
          <w:rFonts w:ascii="Times New Roman" w:hAnsi="Times New Roman" w:cs="Times New Roman"/>
        </w:rPr>
        <w:t xml:space="preserve">. Cea mai frecvent menționată direcție este </w:t>
      </w:r>
      <w:r w:rsidR="00CE0712" w:rsidRPr="00CE0712">
        <w:rPr>
          <w:rFonts w:ascii="Times New Roman" w:hAnsi="Times New Roman" w:cs="Times New Roman"/>
          <w:b/>
          <w:bCs/>
        </w:rPr>
        <w:t>Ucraina – Isaccea (37,74%)</w:t>
      </w:r>
      <w:r w:rsidR="00CE0712" w:rsidRPr="00CE0712">
        <w:rPr>
          <w:rFonts w:ascii="Times New Roman" w:hAnsi="Times New Roman" w:cs="Times New Roman"/>
        </w:rPr>
        <w:t xml:space="preserve">, urmată de </w:t>
      </w:r>
      <w:r w:rsidR="00CE0712" w:rsidRPr="00CE0712">
        <w:rPr>
          <w:rFonts w:ascii="Times New Roman" w:hAnsi="Times New Roman" w:cs="Times New Roman"/>
          <w:b/>
          <w:bCs/>
        </w:rPr>
        <w:t>nave maritime – Port Sulina (30,19%)</w:t>
      </w:r>
      <w:r w:rsidR="00CE0712" w:rsidRPr="00CE0712">
        <w:rPr>
          <w:rFonts w:ascii="Times New Roman" w:hAnsi="Times New Roman" w:cs="Times New Roman"/>
        </w:rPr>
        <w:t xml:space="preserve">, ceea ce evidențiază rolul </w:t>
      </w:r>
      <w:r w:rsidR="00CE0712" w:rsidRPr="00CE0712">
        <w:rPr>
          <w:rFonts w:ascii="Times New Roman" w:hAnsi="Times New Roman" w:cs="Times New Roman"/>
          <w:b/>
          <w:bCs/>
        </w:rPr>
        <w:t>punctului de trecere Isaccea</w:t>
      </w:r>
      <w:r w:rsidR="00CE0712" w:rsidRPr="00CE0712">
        <w:rPr>
          <w:rFonts w:ascii="Times New Roman" w:hAnsi="Times New Roman" w:cs="Times New Roman"/>
        </w:rPr>
        <w:t xml:space="preserve"> și al </w:t>
      </w:r>
      <w:r w:rsidR="00CE0712" w:rsidRPr="00CE0712">
        <w:rPr>
          <w:rFonts w:ascii="Times New Roman" w:hAnsi="Times New Roman" w:cs="Times New Roman"/>
          <w:b/>
          <w:bCs/>
        </w:rPr>
        <w:t>ieșirii la mare prin Sulina</w:t>
      </w:r>
      <w:r w:rsidR="00CE0712" w:rsidRPr="00CE0712">
        <w:rPr>
          <w:rFonts w:ascii="Times New Roman" w:hAnsi="Times New Roman" w:cs="Times New Roman"/>
        </w:rPr>
        <w:t xml:space="preserve"> în configurarea traficului transfrontalier al județului. </w:t>
      </w:r>
      <w:r w:rsidR="00CE0712" w:rsidRPr="00CE0712">
        <w:rPr>
          <w:rFonts w:ascii="Times New Roman" w:hAnsi="Times New Roman" w:cs="Times New Roman"/>
          <w:b/>
          <w:bCs/>
        </w:rPr>
        <w:t>Republica Moldova – Galați (16,98%)</w:t>
      </w:r>
      <w:r w:rsidR="00CE0712" w:rsidRPr="00CE0712">
        <w:rPr>
          <w:rFonts w:ascii="Times New Roman" w:hAnsi="Times New Roman" w:cs="Times New Roman"/>
        </w:rPr>
        <w:t xml:space="preserve"> apare ca direcție secundară, legată de poziția Galațiului ca nod fluvio-maritim în proximitatea Tulcei.</w:t>
      </w:r>
    </w:p>
    <w:p w14:paraId="1564BB9D" w14:textId="4607CC89" w:rsidR="00CE0712" w:rsidRPr="00CE0712" w:rsidRDefault="00CE0712" w:rsidP="002E0C1B">
      <w:pPr>
        <w:spacing w:before="120" w:after="120" w:line="240" w:lineRule="auto"/>
        <w:jc w:val="both"/>
        <w:rPr>
          <w:rFonts w:ascii="Times New Roman" w:hAnsi="Times New Roman" w:cs="Times New Roman"/>
          <w:b/>
          <w:bCs/>
        </w:rPr>
      </w:pPr>
      <w:r w:rsidRPr="00CE0712">
        <w:rPr>
          <w:rFonts w:ascii="Times New Roman" w:hAnsi="Times New Roman" w:cs="Times New Roman"/>
        </w:rPr>
        <w:t xml:space="preserve">Categoria </w:t>
      </w:r>
      <w:r w:rsidRPr="00CE0712">
        <w:rPr>
          <w:rFonts w:ascii="Times New Roman" w:hAnsi="Times New Roman" w:cs="Times New Roman"/>
          <w:b/>
          <w:bCs/>
        </w:rPr>
        <w:t>„Nu există/Nu cunosc” – 11,32%</w:t>
      </w:r>
      <w:r w:rsidRPr="00CE0712">
        <w:rPr>
          <w:rFonts w:ascii="Times New Roman" w:hAnsi="Times New Roman" w:cs="Times New Roman"/>
        </w:rPr>
        <w:t xml:space="preserve"> sugerează un nivel de incertitudine pentru o parte a respondenților, iar </w:t>
      </w:r>
      <w:r w:rsidR="00EC7CDB">
        <w:rPr>
          <w:rFonts w:ascii="Times New Roman" w:hAnsi="Times New Roman" w:cs="Times New Roman"/>
        </w:rPr>
        <w:t xml:space="preserve">categoria </w:t>
      </w:r>
      <w:r w:rsidRPr="00CE0712">
        <w:rPr>
          <w:rFonts w:ascii="Times New Roman" w:hAnsi="Times New Roman" w:cs="Times New Roman"/>
          <w:b/>
          <w:bCs/>
        </w:rPr>
        <w:t>„Altele</w:t>
      </w:r>
      <w:r w:rsidR="00EC7CDB">
        <w:rPr>
          <w:rFonts w:ascii="Times New Roman" w:hAnsi="Times New Roman" w:cs="Times New Roman"/>
          <w:b/>
          <w:bCs/>
        </w:rPr>
        <w:t>”</w:t>
      </w:r>
      <w:r w:rsidRPr="00CE0712">
        <w:rPr>
          <w:rFonts w:ascii="Times New Roman" w:hAnsi="Times New Roman" w:cs="Times New Roman"/>
          <w:b/>
          <w:bCs/>
        </w:rPr>
        <w:t xml:space="preserve"> – 3,77%</w:t>
      </w:r>
      <w:r w:rsidRPr="00CE0712">
        <w:rPr>
          <w:rFonts w:ascii="Times New Roman" w:hAnsi="Times New Roman" w:cs="Times New Roman"/>
        </w:rPr>
        <w:t xml:space="preserve"> include mențiuni punctuale precum </w:t>
      </w:r>
      <w:r w:rsidRPr="00CE0712">
        <w:rPr>
          <w:rFonts w:ascii="Times New Roman" w:hAnsi="Times New Roman" w:cs="Times New Roman"/>
          <w:b/>
          <w:bCs/>
        </w:rPr>
        <w:t>„Tulcea–Constanța”</w:t>
      </w:r>
      <w:r w:rsidRPr="00CE0712">
        <w:rPr>
          <w:rFonts w:ascii="Times New Roman" w:hAnsi="Times New Roman" w:cs="Times New Roman"/>
        </w:rPr>
        <w:t xml:space="preserve"> (orientare spre coridorul maritim național) și </w:t>
      </w:r>
      <w:r w:rsidRPr="00CE0712">
        <w:rPr>
          <w:rFonts w:ascii="Times New Roman" w:hAnsi="Times New Roman" w:cs="Times New Roman"/>
          <w:b/>
          <w:bCs/>
        </w:rPr>
        <w:t>„PTF: Chilia Nouă – Chilia Veche”</w:t>
      </w:r>
      <w:r w:rsidRPr="00CE0712">
        <w:rPr>
          <w:rFonts w:ascii="Times New Roman" w:hAnsi="Times New Roman" w:cs="Times New Roman"/>
        </w:rPr>
        <w:t xml:space="preserve">, semnalând </w:t>
      </w:r>
      <w:r w:rsidRPr="00CE0712">
        <w:rPr>
          <w:rFonts w:ascii="Times New Roman" w:hAnsi="Times New Roman" w:cs="Times New Roman"/>
          <w:b/>
          <w:bCs/>
        </w:rPr>
        <w:t>o oportunitate de conectare pe brațul Chilia</w:t>
      </w:r>
      <w:r w:rsidRPr="00CE0712">
        <w:rPr>
          <w:rFonts w:ascii="Times New Roman" w:hAnsi="Times New Roman" w:cs="Times New Roman"/>
        </w:rPr>
        <w:t xml:space="preserve">. În ansamblu, peste două treimi dintre opțiuni se concentrează pe </w:t>
      </w:r>
      <w:r w:rsidRPr="00CE0712">
        <w:rPr>
          <w:rFonts w:ascii="Times New Roman" w:hAnsi="Times New Roman" w:cs="Times New Roman"/>
          <w:b/>
          <w:bCs/>
        </w:rPr>
        <w:t>frontiera nord-estică cu Ucraina</w:t>
      </w:r>
      <w:r w:rsidRPr="00CE0712">
        <w:rPr>
          <w:rFonts w:ascii="Times New Roman" w:hAnsi="Times New Roman" w:cs="Times New Roman"/>
        </w:rPr>
        <w:t xml:space="preserve"> și pe </w:t>
      </w:r>
      <w:r w:rsidRPr="00CE0712">
        <w:rPr>
          <w:rFonts w:ascii="Times New Roman" w:hAnsi="Times New Roman" w:cs="Times New Roman"/>
          <w:b/>
          <w:bCs/>
        </w:rPr>
        <w:t>componenta maritimă via Sulina</w:t>
      </w:r>
      <w:r w:rsidR="00EC7CDB">
        <w:rPr>
          <w:rFonts w:ascii="Times New Roman" w:hAnsi="Times New Roman" w:cs="Times New Roman"/>
        </w:rPr>
        <w:t>.</w:t>
      </w:r>
    </w:p>
    <w:p w14:paraId="0CCB10E1" w14:textId="62521294" w:rsidR="008651B3" w:rsidRPr="002E0C1B" w:rsidRDefault="00CE0712" w:rsidP="002E0C1B">
      <w:pPr>
        <w:spacing w:before="120" w:after="120" w:line="240" w:lineRule="auto"/>
        <w:jc w:val="both"/>
        <w:rPr>
          <w:rFonts w:ascii="Times New Roman" w:hAnsi="Times New Roman" w:cs="Times New Roman"/>
          <w:b/>
          <w:bCs/>
        </w:rPr>
      </w:pPr>
      <w:r w:rsidRPr="002E0C1B">
        <w:rPr>
          <w:rFonts w:ascii="Times New Roman" w:hAnsi="Times New Roman" w:cs="Times New Roman"/>
          <w:b/>
          <w:bCs/>
        </w:rPr>
        <w:t>17. Considerați că lipsa unor terminale multimodale (mărfuri și pasageri) afectează competitivitatea economică a județului?</w:t>
      </w:r>
    </w:p>
    <w:p w14:paraId="466C6F22" w14:textId="633ABB11" w:rsidR="008651B3" w:rsidRDefault="00CE0712" w:rsidP="002E0C1B">
      <w:pPr>
        <w:spacing w:before="120" w:after="120" w:line="240" w:lineRule="auto"/>
        <w:jc w:val="both"/>
        <w:rPr>
          <w:rFonts w:ascii="Times New Roman" w:hAnsi="Times New Roman" w:cs="Times New Roman"/>
        </w:rPr>
      </w:pPr>
      <w:r w:rsidRPr="002E0C1B">
        <w:rPr>
          <w:rFonts w:ascii="Times New Roman" w:hAnsi="Times New Roman" w:cs="Times New Roman"/>
          <w:noProof/>
          <w:lang w:eastAsia="ro-RO"/>
        </w:rPr>
        <w:drawing>
          <wp:inline distT="0" distB="0" distL="0" distR="0" wp14:anchorId="5F27687F" wp14:editId="22DF8C27">
            <wp:extent cx="5934075" cy="1847850"/>
            <wp:effectExtent l="0" t="0" r="0" b="0"/>
            <wp:docPr id="206588414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AD2B6-E4B0-2F5F-5824-9274D79CE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F27E5D" w14:textId="3A20FFE3" w:rsidR="00EC7CDB" w:rsidRPr="002E0C1B" w:rsidRDefault="00EC7CDB" w:rsidP="00EC7CDB">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17</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sidRPr="00EC7CDB">
        <w:rPr>
          <w:rFonts w:ascii="Times New Roman" w:hAnsi="Times New Roman" w:cs="Times New Roman"/>
          <w:b/>
          <w:bCs/>
        </w:rPr>
        <w:t>Percepția respondenților cu privire la</w:t>
      </w:r>
      <w:r w:rsidR="00131E75">
        <w:rPr>
          <w:rFonts w:ascii="Times New Roman" w:hAnsi="Times New Roman" w:cs="Times New Roman"/>
          <w:b/>
          <w:bCs/>
        </w:rPr>
        <w:t xml:space="preserve"> modul în care </w:t>
      </w:r>
      <w:r w:rsidR="00131E75" w:rsidRPr="00131E75">
        <w:rPr>
          <w:rFonts w:ascii="Times New Roman" w:hAnsi="Times New Roman" w:cs="Times New Roman"/>
          <w:b/>
          <w:bCs/>
        </w:rPr>
        <w:t>lipsa unor terminale multimodale (mărfuri și pasageri) afectează competitivitatea economică a județulu</w:t>
      </w:r>
      <w:r w:rsidR="00131E75">
        <w:rPr>
          <w:rFonts w:ascii="Times New Roman" w:hAnsi="Times New Roman" w:cs="Times New Roman"/>
          <w:b/>
          <w:bCs/>
        </w:rPr>
        <w:t>i</w:t>
      </w:r>
      <w:r w:rsidRPr="00EC7CDB">
        <w:rPr>
          <w:rFonts w:ascii="Times New Roman" w:hAnsi="Times New Roman" w:cs="Times New Roman"/>
          <w:b/>
          <w:bCs/>
        </w:rPr>
        <w:t xml:space="preserve"> Tulcea</w:t>
      </w:r>
    </w:p>
    <w:p w14:paraId="1D2AE727" w14:textId="0B3B202B" w:rsidR="00EC7CDB" w:rsidRPr="002E0C1B" w:rsidRDefault="00EC7CDB" w:rsidP="00EC7CDB">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715478D3" w14:textId="4A29349D" w:rsidR="00E66D19" w:rsidRPr="002E0C1B" w:rsidRDefault="00131E75" w:rsidP="002E0C1B">
      <w:pPr>
        <w:spacing w:before="120" w:after="120" w:line="240" w:lineRule="auto"/>
        <w:jc w:val="both"/>
        <w:rPr>
          <w:rFonts w:ascii="Times New Roman" w:hAnsi="Times New Roman" w:cs="Times New Roman"/>
        </w:rPr>
      </w:pPr>
      <w:r>
        <w:rPr>
          <w:rFonts w:ascii="Times New Roman" w:hAnsi="Times New Roman" w:cs="Times New Roman"/>
        </w:rPr>
        <w:lastRenderedPageBreak/>
        <w:t>Datele</w:t>
      </w:r>
      <w:r w:rsidR="00E66D19" w:rsidRPr="002E0C1B">
        <w:rPr>
          <w:rFonts w:ascii="Times New Roman" w:hAnsi="Times New Roman" w:cs="Times New Roman"/>
        </w:rPr>
        <w:t xml:space="preserve"> </w:t>
      </w:r>
      <w:r>
        <w:rPr>
          <w:rFonts w:ascii="Times New Roman" w:hAnsi="Times New Roman" w:cs="Times New Roman"/>
        </w:rPr>
        <w:t>reflectă</w:t>
      </w:r>
      <w:r w:rsidR="00E66D19" w:rsidRPr="002E0C1B">
        <w:rPr>
          <w:rFonts w:ascii="Times New Roman" w:hAnsi="Times New Roman" w:cs="Times New Roman"/>
        </w:rPr>
        <w:t xml:space="preserve"> o percepție clară asupra impactului intermodalității: </w:t>
      </w:r>
      <w:r w:rsidR="00E66D19" w:rsidRPr="002E0C1B">
        <w:rPr>
          <w:rFonts w:ascii="Times New Roman" w:hAnsi="Times New Roman" w:cs="Times New Roman"/>
          <w:b/>
          <w:bCs/>
        </w:rPr>
        <w:t>67,74%</w:t>
      </w:r>
      <w:r w:rsidR="00E66D19" w:rsidRPr="002E0C1B">
        <w:rPr>
          <w:rFonts w:ascii="Times New Roman" w:hAnsi="Times New Roman" w:cs="Times New Roman"/>
        </w:rPr>
        <w:t xml:space="preserve"> consideră că </w:t>
      </w:r>
      <w:r w:rsidR="00E66D19" w:rsidRPr="002E0C1B">
        <w:rPr>
          <w:rFonts w:ascii="Times New Roman" w:hAnsi="Times New Roman" w:cs="Times New Roman"/>
          <w:b/>
          <w:bCs/>
        </w:rPr>
        <w:t>lipsa terminalelor multimodale</w:t>
      </w:r>
      <w:r w:rsidR="00E66D19" w:rsidRPr="002E0C1B">
        <w:rPr>
          <w:rFonts w:ascii="Times New Roman" w:hAnsi="Times New Roman" w:cs="Times New Roman"/>
        </w:rPr>
        <w:t xml:space="preserve"> reprezintă </w:t>
      </w:r>
      <w:r w:rsidR="00E66D19" w:rsidRPr="002E0C1B">
        <w:rPr>
          <w:rFonts w:ascii="Times New Roman" w:hAnsi="Times New Roman" w:cs="Times New Roman"/>
          <w:b/>
          <w:bCs/>
        </w:rPr>
        <w:t>un obstacol major</w:t>
      </w:r>
      <w:r w:rsidR="00E66D19" w:rsidRPr="002E0C1B">
        <w:rPr>
          <w:rFonts w:ascii="Times New Roman" w:hAnsi="Times New Roman" w:cs="Times New Roman"/>
        </w:rPr>
        <w:t xml:space="preserve"> pentru competitivitatea județului; dacă adăugăm opțiunea </w:t>
      </w:r>
      <w:r w:rsidR="00E66D19" w:rsidRPr="002E0C1B">
        <w:rPr>
          <w:rFonts w:ascii="Times New Roman" w:hAnsi="Times New Roman" w:cs="Times New Roman"/>
          <w:b/>
          <w:bCs/>
        </w:rPr>
        <w:t>„parțial” – 12,90%</w:t>
      </w:r>
      <w:r w:rsidR="00E66D19" w:rsidRPr="002E0C1B">
        <w:rPr>
          <w:rFonts w:ascii="Times New Roman" w:hAnsi="Times New Roman" w:cs="Times New Roman"/>
        </w:rPr>
        <w:t xml:space="preserve">, rezultă </w:t>
      </w:r>
      <w:r w:rsidR="00E66D19" w:rsidRPr="002E0C1B">
        <w:rPr>
          <w:rFonts w:ascii="Times New Roman" w:hAnsi="Times New Roman" w:cs="Times New Roman"/>
          <w:b/>
          <w:bCs/>
        </w:rPr>
        <w:t>80,64%</w:t>
      </w:r>
      <w:r w:rsidR="00E66D19" w:rsidRPr="002E0C1B">
        <w:rPr>
          <w:rFonts w:ascii="Times New Roman" w:hAnsi="Times New Roman" w:cs="Times New Roman"/>
        </w:rPr>
        <w:t xml:space="preserve"> de opinii care indică </w:t>
      </w:r>
      <w:r w:rsidR="00E66D19" w:rsidRPr="002E0C1B">
        <w:rPr>
          <w:rFonts w:ascii="Times New Roman" w:hAnsi="Times New Roman" w:cs="Times New Roman"/>
          <w:b/>
          <w:bCs/>
        </w:rPr>
        <w:t>efecte negative</w:t>
      </w:r>
      <w:r w:rsidR="00E66D19" w:rsidRPr="002E0C1B">
        <w:rPr>
          <w:rFonts w:ascii="Times New Roman" w:hAnsi="Times New Roman" w:cs="Times New Roman"/>
        </w:rPr>
        <w:t xml:space="preserve">. Doar </w:t>
      </w:r>
      <w:r w:rsidR="00E66D19" w:rsidRPr="002E0C1B">
        <w:rPr>
          <w:rFonts w:ascii="Times New Roman" w:hAnsi="Times New Roman" w:cs="Times New Roman"/>
          <w:b/>
          <w:bCs/>
        </w:rPr>
        <w:t>6,45%</w:t>
      </w:r>
      <w:r w:rsidR="00E66D19" w:rsidRPr="002E0C1B">
        <w:rPr>
          <w:rFonts w:ascii="Times New Roman" w:hAnsi="Times New Roman" w:cs="Times New Roman"/>
        </w:rPr>
        <w:t xml:space="preserve"> apreciază că </w:t>
      </w:r>
      <w:r w:rsidR="00E66D19" w:rsidRPr="002E0C1B">
        <w:rPr>
          <w:rFonts w:ascii="Times New Roman" w:hAnsi="Times New Roman" w:cs="Times New Roman"/>
          <w:b/>
          <w:bCs/>
        </w:rPr>
        <w:t>alte tipuri de infrastructură sunt prioritare</w:t>
      </w:r>
      <w:r w:rsidR="00E66D19" w:rsidRPr="002E0C1B">
        <w:rPr>
          <w:rFonts w:ascii="Times New Roman" w:hAnsi="Times New Roman" w:cs="Times New Roman"/>
        </w:rPr>
        <w:t xml:space="preserve">, iar </w:t>
      </w:r>
      <w:r w:rsidR="00E66D19" w:rsidRPr="002E0C1B">
        <w:rPr>
          <w:rFonts w:ascii="Times New Roman" w:hAnsi="Times New Roman" w:cs="Times New Roman"/>
          <w:b/>
          <w:bCs/>
        </w:rPr>
        <w:t>12,90%</w:t>
      </w:r>
      <w:r w:rsidR="00E66D19" w:rsidRPr="002E0C1B">
        <w:rPr>
          <w:rFonts w:ascii="Times New Roman" w:hAnsi="Times New Roman" w:cs="Times New Roman"/>
        </w:rPr>
        <w:t xml:space="preserve"> nu se pronunță. Acest profil se </w:t>
      </w:r>
      <w:r w:rsidR="00E66D19" w:rsidRPr="002E0C1B">
        <w:rPr>
          <w:rFonts w:ascii="Times New Roman" w:hAnsi="Times New Roman" w:cs="Times New Roman"/>
          <w:b/>
          <w:bCs/>
        </w:rPr>
        <w:t>corelează</w:t>
      </w:r>
      <w:r w:rsidR="00E66D19" w:rsidRPr="002E0C1B">
        <w:rPr>
          <w:rFonts w:ascii="Times New Roman" w:hAnsi="Times New Roman" w:cs="Times New Roman"/>
        </w:rPr>
        <w:t xml:space="preserve"> cu răspunsurile privind </w:t>
      </w:r>
      <w:r>
        <w:rPr>
          <w:rFonts w:ascii="Times New Roman" w:hAnsi="Times New Roman" w:cs="Times New Roman"/>
          <w:b/>
          <w:bCs/>
        </w:rPr>
        <w:t>conectivitatea slabă</w:t>
      </w:r>
      <w:r w:rsidR="00E66D19" w:rsidRPr="002E0C1B">
        <w:rPr>
          <w:rFonts w:ascii="Times New Roman" w:hAnsi="Times New Roman" w:cs="Times New Roman"/>
          <w:b/>
          <w:bCs/>
        </w:rPr>
        <w:t xml:space="preserve"> între moduri</w:t>
      </w:r>
      <w:r w:rsidR="00E66D19" w:rsidRPr="002E0C1B">
        <w:rPr>
          <w:rFonts w:ascii="Times New Roman" w:hAnsi="Times New Roman" w:cs="Times New Roman"/>
        </w:rPr>
        <w:t xml:space="preserve"> (naval–feroviar, rutier–aerian) și cu </w:t>
      </w:r>
      <w:r>
        <w:rPr>
          <w:rFonts w:ascii="Times New Roman" w:hAnsi="Times New Roman" w:cs="Times New Roman"/>
        </w:rPr>
        <w:t>nevoile identificate anterior, de dezvoltare a</w:t>
      </w:r>
      <w:r w:rsidR="00E66D19" w:rsidRPr="002E0C1B">
        <w:rPr>
          <w:rFonts w:ascii="Times New Roman" w:hAnsi="Times New Roman" w:cs="Times New Roman"/>
        </w:rPr>
        <w:t xml:space="preserve"> </w:t>
      </w:r>
      <w:r w:rsidR="00E66D19" w:rsidRPr="002E0C1B">
        <w:rPr>
          <w:rFonts w:ascii="Times New Roman" w:hAnsi="Times New Roman" w:cs="Times New Roman"/>
          <w:b/>
          <w:bCs/>
        </w:rPr>
        <w:t>hubului intermodal</w:t>
      </w:r>
      <w:r w:rsidR="00E66D19" w:rsidRPr="002E0C1B">
        <w:rPr>
          <w:rFonts w:ascii="Times New Roman" w:hAnsi="Times New Roman" w:cs="Times New Roman"/>
        </w:rPr>
        <w:t xml:space="preserve"> și </w:t>
      </w:r>
      <w:r w:rsidR="00E66D19" w:rsidRPr="002E0C1B">
        <w:rPr>
          <w:rFonts w:ascii="Times New Roman" w:hAnsi="Times New Roman" w:cs="Times New Roman"/>
          <w:b/>
          <w:bCs/>
        </w:rPr>
        <w:t>conectării porturilor</w:t>
      </w:r>
      <w:r w:rsidR="00E66D19" w:rsidRPr="002E0C1B">
        <w:rPr>
          <w:rFonts w:ascii="Times New Roman" w:hAnsi="Times New Roman" w:cs="Times New Roman"/>
        </w:rPr>
        <w:t xml:space="preserve">, pe fondul </w:t>
      </w:r>
      <w:r w:rsidR="00BD3720">
        <w:rPr>
          <w:rFonts w:ascii="Times New Roman" w:hAnsi="Times New Roman" w:cs="Times New Roman"/>
        </w:rPr>
        <w:t xml:space="preserve">poziției </w:t>
      </w:r>
      <w:r w:rsidR="00E66D19" w:rsidRPr="002E0C1B">
        <w:rPr>
          <w:rFonts w:ascii="Times New Roman" w:hAnsi="Times New Roman" w:cs="Times New Roman"/>
          <w:b/>
          <w:bCs/>
        </w:rPr>
        <w:t>geografi</w:t>
      </w:r>
      <w:r w:rsidR="00BD3720">
        <w:rPr>
          <w:rFonts w:ascii="Times New Roman" w:hAnsi="Times New Roman" w:cs="Times New Roman"/>
          <w:b/>
          <w:bCs/>
        </w:rPr>
        <w:t>ce</w:t>
      </w:r>
      <w:r w:rsidR="00E66D19" w:rsidRPr="002E0C1B">
        <w:rPr>
          <w:rFonts w:ascii="Times New Roman" w:hAnsi="Times New Roman" w:cs="Times New Roman"/>
          <w:b/>
          <w:bCs/>
        </w:rPr>
        <w:t xml:space="preserve"> </w:t>
      </w:r>
      <w:r w:rsidR="00E66D19" w:rsidRPr="002E0C1B">
        <w:rPr>
          <w:rFonts w:ascii="Times New Roman" w:hAnsi="Times New Roman" w:cs="Times New Roman"/>
        </w:rPr>
        <w:t xml:space="preserve">și al </w:t>
      </w:r>
      <w:r w:rsidR="00E66D19" w:rsidRPr="002E0C1B">
        <w:rPr>
          <w:rFonts w:ascii="Times New Roman" w:hAnsi="Times New Roman" w:cs="Times New Roman"/>
          <w:b/>
          <w:bCs/>
        </w:rPr>
        <w:t>dispersiei așezărilor</w:t>
      </w:r>
      <w:r w:rsidR="00E66D19" w:rsidRPr="002E0C1B">
        <w:rPr>
          <w:rFonts w:ascii="Times New Roman" w:hAnsi="Times New Roman" w:cs="Times New Roman"/>
        </w:rPr>
        <w:t xml:space="preserve"> din județul Tulcea.</w:t>
      </w:r>
    </w:p>
    <w:p w14:paraId="76BC042A" w14:textId="010FC4AA" w:rsidR="00E66D19" w:rsidRPr="002E0C1B" w:rsidRDefault="00E66D19" w:rsidP="002E0C1B">
      <w:pPr>
        <w:spacing w:before="120" w:after="120" w:line="240" w:lineRule="auto"/>
        <w:jc w:val="both"/>
        <w:rPr>
          <w:rFonts w:ascii="Times New Roman" w:hAnsi="Times New Roman" w:cs="Times New Roman"/>
          <w:b/>
          <w:bCs/>
        </w:rPr>
      </w:pPr>
      <w:r w:rsidRPr="002E0C1B">
        <w:rPr>
          <w:rFonts w:ascii="Times New Roman" w:hAnsi="Times New Roman" w:cs="Times New Roman"/>
          <w:b/>
          <w:bCs/>
        </w:rPr>
        <w:t>18. În ce măsură considerați că utilizarea dronelor ar putea aduce beneficii pentru transport, monitorizare sau logistică în județul Tulcea?</w:t>
      </w:r>
    </w:p>
    <w:p w14:paraId="0E6DE73D" w14:textId="77777777" w:rsidR="008651B3" w:rsidRDefault="00E66D19" w:rsidP="002E0C1B">
      <w:pPr>
        <w:spacing w:before="120" w:after="120" w:line="240" w:lineRule="auto"/>
        <w:jc w:val="both"/>
        <w:rPr>
          <w:rFonts w:ascii="Times New Roman" w:hAnsi="Times New Roman" w:cs="Times New Roman"/>
        </w:rPr>
      </w:pPr>
      <w:r w:rsidRPr="002E0C1B">
        <w:rPr>
          <w:rFonts w:ascii="Times New Roman" w:hAnsi="Times New Roman" w:cs="Times New Roman"/>
          <w:noProof/>
          <w:lang w:eastAsia="ro-RO"/>
        </w:rPr>
        <w:drawing>
          <wp:inline distT="0" distB="0" distL="0" distR="0" wp14:anchorId="08D5C6A8" wp14:editId="2FBF5F81">
            <wp:extent cx="5934075" cy="2276475"/>
            <wp:effectExtent l="0" t="0" r="0" b="0"/>
            <wp:docPr id="19501491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8BADA4-6C67-3E87-2DFA-81BFF3A34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1899EA" w14:textId="0DC8D3D5" w:rsidR="00BD3720" w:rsidRPr="002E0C1B" w:rsidRDefault="00BD3720" w:rsidP="00BD3720">
      <w:pPr>
        <w:spacing w:before="120" w:after="120" w:line="240" w:lineRule="auto"/>
        <w:jc w:val="center"/>
        <w:rPr>
          <w:rFonts w:ascii="Times New Roman" w:hAnsi="Times New Roman" w:cs="Times New Roman"/>
          <w:b/>
          <w:bCs/>
        </w:rPr>
      </w:pPr>
      <w:r w:rsidRPr="002E0C1B">
        <w:rPr>
          <w:rFonts w:ascii="Times New Roman" w:hAnsi="Times New Roman" w:cs="Times New Roman"/>
          <w:b/>
          <w:bCs/>
        </w:rPr>
        <w:t xml:space="preserve">Figura nr. </w:t>
      </w:r>
      <w:r w:rsidRPr="002E0C1B">
        <w:rPr>
          <w:rFonts w:ascii="Times New Roman" w:hAnsi="Times New Roman" w:cs="Times New Roman"/>
          <w:b/>
          <w:bCs/>
        </w:rPr>
        <w:fldChar w:fldCharType="begin"/>
      </w:r>
      <w:r w:rsidRPr="002E0C1B">
        <w:rPr>
          <w:rFonts w:ascii="Times New Roman" w:hAnsi="Times New Roman" w:cs="Times New Roman"/>
          <w:b/>
          <w:bCs/>
        </w:rPr>
        <w:instrText xml:space="preserve"> SEQ Figura_nr. \* ARABIC </w:instrText>
      </w:r>
      <w:r w:rsidRPr="002E0C1B">
        <w:rPr>
          <w:rFonts w:ascii="Times New Roman" w:hAnsi="Times New Roman" w:cs="Times New Roman"/>
          <w:b/>
          <w:bCs/>
        </w:rPr>
        <w:fldChar w:fldCharType="separate"/>
      </w:r>
      <w:r w:rsidR="00D27FB3">
        <w:rPr>
          <w:rFonts w:ascii="Times New Roman" w:hAnsi="Times New Roman" w:cs="Times New Roman"/>
          <w:b/>
          <w:bCs/>
          <w:noProof/>
        </w:rPr>
        <w:t>18</w:t>
      </w:r>
      <w:r w:rsidRPr="002E0C1B">
        <w:rPr>
          <w:rFonts w:ascii="Times New Roman" w:hAnsi="Times New Roman" w:cs="Times New Roman"/>
          <w:b/>
          <w:bCs/>
        </w:rPr>
        <w:fldChar w:fldCharType="end"/>
      </w:r>
      <w:r w:rsidRPr="002E0C1B">
        <w:rPr>
          <w:rFonts w:ascii="Times New Roman" w:hAnsi="Times New Roman" w:cs="Times New Roman"/>
          <w:b/>
          <w:bCs/>
        </w:rPr>
        <w:t xml:space="preserve">: </w:t>
      </w:r>
      <w:r w:rsidRPr="00EC7CDB">
        <w:rPr>
          <w:rFonts w:ascii="Times New Roman" w:hAnsi="Times New Roman" w:cs="Times New Roman"/>
          <w:b/>
          <w:bCs/>
        </w:rPr>
        <w:t>Percepția respondenților cu privire</w:t>
      </w:r>
      <w:r>
        <w:rPr>
          <w:rFonts w:ascii="Times New Roman" w:hAnsi="Times New Roman" w:cs="Times New Roman"/>
          <w:b/>
          <w:bCs/>
        </w:rPr>
        <w:t xml:space="preserve"> la</w:t>
      </w:r>
      <w:r w:rsidRPr="00EC7CDB">
        <w:rPr>
          <w:rFonts w:ascii="Times New Roman" w:hAnsi="Times New Roman" w:cs="Times New Roman"/>
          <w:b/>
          <w:bCs/>
        </w:rPr>
        <w:t xml:space="preserve"> </w:t>
      </w:r>
      <w:r w:rsidRPr="00BD3720">
        <w:rPr>
          <w:rFonts w:ascii="Times New Roman" w:hAnsi="Times New Roman" w:cs="Times New Roman"/>
          <w:b/>
          <w:bCs/>
        </w:rPr>
        <w:t xml:space="preserve">utilizarea dronelor </w:t>
      </w:r>
      <w:r>
        <w:rPr>
          <w:rFonts w:ascii="Times New Roman" w:hAnsi="Times New Roman" w:cs="Times New Roman"/>
          <w:b/>
          <w:bCs/>
        </w:rPr>
        <w:t>pentru a</w:t>
      </w:r>
      <w:r w:rsidRPr="00BD3720">
        <w:rPr>
          <w:rFonts w:ascii="Times New Roman" w:hAnsi="Times New Roman" w:cs="Times New Roman"/>
          <w:b/>
          <w:bCs/>
        </w:rPr>
        <w:t xml:space="preserve"> aduce beneficii pentru transport, monitorizare sau logistică în județul Tulcea</w:t>
      </w:r>
    </w:p>
    <w:p w14:paraId="60D558CF" w14:textId="77777777" w:rsidR="00BD3720" w:rsidRPr="002E0C1B" w:rsidRDefault="00BD3720" w:rsidP="00BD3720">
      <w:pPr>
        <w:pStyle w:val="Smn"/>
        <w:jc w:val="center"/>
        <w:rPr>
          <w:rFonts w:ascii="Times New Roman" w:hAnsi="Times New Roman" w:cs="Times New Roman"/>
          <w:sz w:val="22"/>
          <w:szCs w:val="22"/>
        </w:rPr>
      </w:pPr>
      <w:r w:rsidRPr="002E0C1B">
        <w:rPr>
          <w:rFonts w:ascii="Times New Roman" w:hAnsi="Times New Roman" w:cs="Times New Roman"/>
          <w:b/>
          <w:bCs/>
          <w:sz w:val="22"/>
          <w:szCs w:val="22"/>
        </w:rPr>
        <w:t>Sursa:</w:t>
      </w:r>
      <w:r w:rsidRPr="002E0C1B">
        <w:rPr>
          <w:rFonts w:ascii="Times New Roman" w:hAnsi="Times New Roman" w:cs="Times New Roman"/>
          <w:sz w:val="22"/>
          <w:szCs w:val="22"/>
        </w:rPr>
        <w:t xml:space="preserve"> Prelucrări statistice efectuate pe baza datelor colectate din chestionar</w:t>
      </w:r>
    </w:p>
    <w:p w14:paraId="1E0724B3" w14:textId="21CC9E04" w:rsidR="00854CA1" w:rsidRPr="00854CA1" w:rsidRDefault="00BD3720" w:rsidP="002E0C1B">
      <w:pPr>
        <w:spacing w:before="120" w:after="120" w:line="240" w:lineRule="auto"/>
        <w:jc w:val="both"/>
        <w:rPr>
          <w:rFonts w:ascii="Times New Roman" w:hAnsi="Times New Roman" w:cs="Times New Roman"/>
        </w:rPr>
      </w:pPr>
      <w:r>
        <w:rPr>
          <w:rFonts w:ascii="Times New Roman" w:hAnsi="Times New Roman" w:cs="Times New Roman"/>
        </w:rPr>
        <w:t>Datele colectate</w:t>
      </w:r>
      <w:r w:rsidR="00854CA1" w:rsidRPr="00854CA1">
        <w:rPr>
          <w:rFonts w:ascii="Times New Roman" w:hAnsi="Times New Roman" w:cs="Times New Roman"/>
        </w:rPr>
        <w:t xml:space="preserve"> sugerează o </w:t>
      </w:r>
      <w:r w:rsidR="00854CA1" w:rsidRPr="00854CA1">
        <w:rPr>
          <w:rFonts w:ascii="Times New Roman" w:hAnsi="Times New Roman" w:cs="Times New Roman"/>
          <w:b/>
          <w:bCs/>
        </w:rPr>
        <w:t>polarizare moderată a opiniilor</w:t>
      </w:r>
      <w:r w:rsidR="001A7E8D">
        <w:rPr>
          <w:rFonts w:ascii="Times New Roman" w:hAnsi="Times New Roman" w:cs="Times New Roman"/>
        </w:rPr>
        <w:t>:</w:t>
      </w:r>
      <w:r w:rsidR="00854CA1" w:rsidRPr="00854CA1">
        <w:rPr>
          <w:rFonts w:ascii="Times New Roman" w:hAnsi="Times New Roman" w:cs="Times New Roman"/>
        </w:rPr>
        <w:t xml:space="preserve"> </w:t>
      </w:r>
      <w:r w:rsidR="00854CA1" w:rsidRPr="00854CA1">
        <w:rPr>
          <w:rFonts w:ascii="Times New Roman" w:hAnsi="Times New Roman" w:cs="Times New Roman"/>
          <w:b/>
          <w:bCs/>
        </w:rPr>
        <w:t>32,26%</w:t>
      </w:r>
      <w:r w:rsidR="00854CA1" w:rsidRPr="00854CA1">
        <w:rPr>
          <w:rFonts w:ascii="Times New Roman" w:hAnsi="Times New Roman" w:cs="Times New Roman"/>
        </w:rPr>
        <w:t xml:space="preserve"> estimează un </w:t>
      </w:r>
      <w:r w:rsidR="00854CA1" w:rsidRPr="00854CA1">
        <w:rPr>
          <w:rFonts w:ascii="Times New Roman" w:hAnsi="Times New Roman" w:cs="Times New Roman"/>
          <w:b/>
          <w:bCs/>
        </w:rPr>
        <w:t>potențial foarte mare</w:t>
      </w:r>
      <w:r w:rsidR="00854CA1" w:rsidRPr="00854CA1">
        <w:rPr>
          <w:rFonts w:ascii="Times New Roman" w:hAnsi="Times New Roman" w:cs="Times New Roman"/>
        </w:rPr>
        <w:t xml:space="preserve">, </w:t>
      </w:r>
      <w:r w:rsidR="001A7E8D">
        <w:rPr>
          <w:rFonts w:ascii="Times New Roman" w:hAnsi="Times New Roman" w:cs="Times New Roman"/>
        </w:rPr>
        <w:t xml:space="preserve">în timp ce </w:t>
      </w:r>
      <w:r w:rsidR="00854CA1" w:rsidRPr="00854CA1">
        <w:rPr>
          <w:rFonts w:ascii="Times New Roman" w:hAnsi="Times New Roman" w:cs="Times New Roman"/>
          <w:b/>
          <w:bCs/>
        </w:rPr>
        <w:t>22,58%</w:t>
      </w:r>
      <w:r w:rsidR="00854CA1" w:rsidRPr="00854CA1">
        <w:rPr>
          <w:rFonts w:ascii="Times New Roman" w:hAnsi="Times New Roman" w:cs="Times New Roman"/>
        </w:rPr>
        <w:t xml:space="preserve"> apreciază </w:t>
      </w:r>
      <w:r w:rsidR="001A7E8D">
        <w:rPr>
          <w:rFonts w:ascii="Times New Roman" w:hAnsi="Times New Roman" w:cs="Times New Roman"/>
        </w:rPr>
        <w:t xml:space="preserve">o </w:t>
      </w:r>
      <w:r w:rsidR="00854CA1" w:rsidRPr="00854CA1">
        <w:rPr>
          <w:rFonts w:ascii="Times New Roman" w:hAnsi="Times New Roman" w:cs="Times New Roman"/>
        </w:rPr>
        <w:t xml:space="preserve">utilitate </w:t>
      </w:r>
      <w:r w:rsidR="00854CA1" w:rsidRPr="00854CA1">
        <w:rPr>
          <w:rFonts w:ascii="Times New Roman" w:hAnsi="Times New Roman" w:cs="Times New Roman"/>
          <w:b/>
          <w:bCs/>
        </w:rPr>
        <w:t>redusă</w:t>
      </w:r>
      <w:r w:rsidR="001A7E8D">
        <w:rPr>
          <w:rFonts w:ascii="Times New Roman" w:hAnsi="Times New Roman" w:cs="Times New Roman"/>
          <w:b/>
          <w:bCs/>
        </w:rPr>
        <w:t xml:space="preserve"> a dronelor în beneficiul transporturilor, monitorizării și logisticii</w:t>
      </w:r>
      <w:r w:rsidR="00854CA1" w:rsidRPr="00854CA1">
        <w:rPr>
          <w:rFonts w:ascii="Times New Roman" w:hAnsi="Times New Roman" w:cs="Times New Roman"/>
        </w:rPr>
        <w:t xml:space="preserve">, iar </w:t>
      </w:r>
      <w:r w:rsidR="00854CA1" w:rsidRPr="00854CA1">
        <w:rPr>
          <w:rFonts w:ascii="Times New Roman" w:hAnsi="Times New Roman" w:cs="Times New Roman"/>
          <w:b/>
          <w:bCs/>
        </w:rPr>
        <w:t>25,81%</w:t>
      </w:r>
      <w:r w:rsidR="00854CA1" w:rsidRPr="00854CA1">
        <w:rPr>
          <w:rFonts w:ascii="Times New Roman" w:hAnsi="Times New Roman" w:cs="Times New Roman"/>
        </w:rPr>
        <w:t xml:space="preserve"> declară că </w:t>
      </w:r>
      <w:r w:rsidR="00854CA1" w:rsidRPr="00854CA1">
        <w:rPr>
          <w:rFonts w:ascii="Times New Roman" w:hAnsi="Times New Roman" w:cs="Times New Roman"/>
          <w:b/>
          <w:bCs/>
        </w:rPr>
        <w:t>nu cunosc/nu consideră relevant</w:t>
      </w:r>
      <w:r w:rsidR="00854CA1" w:rsidRPr="00854CA1">
        <w:rPr>
          <w:rFonts w:ascii="Times New Roman" w:hAnsi="Times New Roman" w:cs="Times New Roman"/>
        </w:rPr>
        <w:t>.</w:t>
      </w:r>
    </w:p>
    <w:p w14:paraId="092AE208" w14:textId="77777777" w:rsidR="00E66D19" w:rsidRPr="002E0C1B" w:rsidRDefault="00E66D19" w:rsidP="002E0C1B">
      <w:pPr>
        <w:spacing w:before="120" w:after="120" w:line="240" w:lineRule="auto"/>
        <w:jc w:val="both"/>
        <w:rPr>
          <w:rFonts w:ascii="Times New Roman" w:hAnsi="Times New Roman" w:cs="Times New Roman"/>
          <w:b/>
          <w:bCs/>
        </w:rPr>
      </w:pPr>
      <w:r w:rsidRPr="002E0C1B">
        <w:rPr>
          <w:rFonts w:ascii="Times New Roman" w:hAnsi="Times New Roman" w:cs="Times New Roman"/>
          <w:b/>
          <w:bCs/>
        </w:rPr>
        <w:t>19. Care sunt, în opinia dumneavoastră, direcțiile strategice prioritare pentru dezvoltarea transporturilor în județul Tulcea?</w:t>
      </w:r>
    </w:p>
    <w:p w14:paraId="05C09504" w14:textId="78133B3F" w:rsidR="00854CA1" w:rsidRDefault="00854CA1" w:rsidP="002E0C1B">
      <w:pPr>
        <w:spacing w:before="120" w:after="120" w:line="240" w:lineRule="auto"/>
        <w:jc w:val="both"/>
        <w:rPr>
          <w:rFonts w:ascii="Times New Roman" w:hAnsi="Times New Roman" w:cs="Times New Roman"/>
        </w:rPr>
      </w:pPr>
      <w:r w:rsidRPr="00854CA1">
        <w:rPr>
          <w:rFonts w:ascii="Times New Roman" w:hAnsi="Times New Roman" w:cs="Times New Roman"/>
        </w:rPr>
        <w:t xml:space="preserve">Răspunsurile deschise converg către câteva axe clare. Prioritară este </w:t>
      </w:r>
      <w:r w:rsidRPr="00854CA1">
        <w:rPr>
          <w:rFonts w:ascii="Times New Roman" w:hAnsi="Times New Roman" w:cs="Times New Roman"/>
          <w:b/>
          <w:bCs/>
        </w:rPr>
        <w:t>refacerea și extinderea infrastructurii rutiere</w:t>
      </w:r>
      <w:r w:rsidRPr="00854CA1">
        <w:rPr>
          <w:rFonts w:ascii="Times New Roman" w:hAnsi="Times New Roman" w:cs="Times New Roman"/>
        </w:rPr>
        <w:t xml:space="preserve">, inclusiv </w:t>
      </w:r>
      <w:r w:rsidRPr="00854CA1">
        <w:rPr>
          <w:rFonts w:ascii="Times New Roman" w:hAnsi="Times New Roman" w:cs="Times New Roman"/>
          <w:b/>
          <w:bCs/>
        </w:rPr>
        <w:t>Drumul expres Brăila–Tulcea–Constanța</w:t>
      </w:r>
      <w:r w:rsidRPr="00854CA1">
        <w:rPr>
          <w:rFonts w:ascii="Times New Roman" w:hAnsi="Times New Roman" w:cs="Times New Roman"/>
        </w:rPr>
        <w:t xml:space="preserve">, </w:t>
      </w:r>
      <w:r w:rsidRPr="00854CA1">
        <w:rPr>
          <w:rFonts w:ascii="Times New Roman" w:hAnsi="Times New Roman" w:cs="Times New Roman"/>
          <w:b/>
          <w:bCs/>
        </w:rPr>
        <w:t>varianta ocolitoare a municipiului Tulcea</w:t>
      </w:r>
      <w:r w:rsidRPr="00854CA1">
        <w:rPr>
          <w:rFonts w:ascii="Times New Roman" w:hAnsi="Times New Roman" w:cs="Times New Roman"/>
        </w:rPr>
        <w:t xml:space="preserve">, conexiuni </w:t>
      </w:r>
      <w:r w:rsidRPr="00854CA1">
        <w:rPr>
          <w:rFonts w:ascii="Times New Roman" w:hAnsi="Times New Roman" w:cs="Times New Roman"/>
          <w:b/>
          <w:bCs/>
        </w:rPr>
        <w:t>nord–sud</w:t>
      </w:r>
      <w:r w:rsidRPr="00854CA1">
        <w:rPr>
          <w:rFonts w:ascii="Times New Roman" w:hAnsi="Times New Roman" w:cs="Times New Roman"/>
        </w:rPr>
        <w:t xml:space="preserve"> și legături punctuale precum </w:t>
      </w:r>
      <w:r w:rsidRPr="00854CA1">
        <w:rPr>
          <w:rFonts w:ascii="Times New Roman" w:hAnsi="Times New Roman" w:cs="Times New Roman"/>
          <w:b/>
          <w:bCs/>
        </w:rPr>
        <w:t>Tulcea–Gorgova</w:t>
      </w:r>
      <w:r w:rsidRPr="00854CA1">
        <w:rPr>
          <w:rFonts w:ascii="Times New Roman" w:hAnsi="Times New Roman" w:cs="Times New Roman"/>
        </w:rPr>
        <w:t xml:space="preserve">, cu integrare în </w:t>
      </w:r>
      <w:r w:rsidRPr="00854CA1">
        <w:rPr>
          <w:rFonts w:ascii="Times New Roman" w:hAnsi="Times New Roman" w:cs="Times New Roman"/>
          <w:b/>
          <w:bCs/>
        </w:rPr>
        <w:t>rețeaua națională/europeană</w:t>
      </w:r>
      <w:r w:rsidRPr="00854CA1">
        <w:rPr>
          <w:rFonts w:ascii="Times New Roman" w:hAnsi="Times New Roman" w:cs="Times New Roman"/>
        </w:rPr>
        <w:t xml:space="preserve">. O a doua direcție vizează </w:t>
      </w:r>
      <w:r w:rsidRPr="00854CA1">
        <w:rPr>
          <w:rFonts w:ascii="Times New Roman" w:hAnsi="Times New Roman" w:cs="Times New Roman"/>
          <w:b/>
          <w:bCs/>
        </w:rPr>
        <w:t>intermodalitatea</w:t>
      </w:r>
      <w:r w:rsidRPr="00854CA1">
        <w:rPr>
          <w:rFonts w:ascii="Times New Roman" w:hAnsi="Times New Roman" w:cs="Times New Roman"/>
        </w:rPr>
        <w:t xml:space="preserve">: realizarea unui </w:t>
      </w:r>
      <w:r w:rsidRPr="00854CA1">
        <w:rPr>
          <w:rFonts w:ascii="Times New Roman" w:hAnsi="Times New Roman" w:cs="Times New Roman"/>
          <w:b/>
          <w:bCs/>
        </w:rPr>
        <w:t>hub/terminal logistic</w:t>
      </w:r>
      <w:r w:rsidRPr="00854CA1">
        <w:rPr>
          <w:rFonts w:ascii="Times New Roman" w:hAnsi="Times New Roman" w:cs="Times New Roman"/>
        </w:rPr>
        <w:t xml:space="preserve"> care să lege </w:t>
      </w:r>
      <w:r w:rsidRPr="00854CA1">
        <w:rPr>
          <w:rFonts w:ascii="Times New Roman" w:hAnsi="Times New Roman" w:cs="Times New Roman"/>
          <w:b/>
          <w:bCs/>
        </w:rPr>
        <w:t>rutier–naval–feroviar–aerian</w:t>
      </w:r>
      <w:r w:rsidRPr="00854CA1">
        <w:rPr>
          <w:rFonts w:ascii="Times New Roman" w:hAnsi="Times New Roman" w:cs="Times New Roman"/>
        </w:rPr>
        <w:t xml:space="preserve">. În strânsă legătură, se solicită </w:t>
      </w:r>
      <w:r w:rsidRPr="00854CA1">
        <w:rPr>
          <w:rFonts w:ascii="Times New Roman" w:hAnsi="Times New Roman" w:cs="Times New Roman"/>
          <w:b/>
          <w:bCs/>
        </w:rPr>
        <w:t>dezvoltarea Aeroportului Tulcea</w:t>
      </w:r>
      <w:r w:rsidRPr="00854CA1">
        <w:rPr>
          <w:rFonts w:ascii="Times New Roman" w:hAnsi="Times New Roman" w:cs="Times New Roman"/>
        </w:rPr>
        <w:t xml:space="preserve"> pentru </w:t>
      </w:r>
      <w:r w:rsidRPr="00854CA1">
        <w:rPr>
          <w:rFonts w:ascii="Times New Roman" w:hAnsi="Times New Roman" w:cs="Times New Roman"/>
          <w:b/>
          <w:bCs/>
        </w:rPr>
        <w:t>pasageri și cargo</w:t>
      </w:r>
      <w:r w:rsidRPr="00854CA1">
        <w:rPr>
          <w:rFonts w:ascii="Times New Roman" w:hAnsi="Times New Roman" w:cs="Times New Roman"/>
        </w:rPr>
        <w:t>.</w:t>
      </w:r>
      <w:r w:rsidR="00F74A8E">
        <w:rPr>
          <w:rFonts w:ascii="Times New Roman" w:hAnsi="Times New Roman" w:cs="Times New Roman"/>
        </w:rPr>
        <w:t xml:space="preserve"> </w:t>
      </w:r>
      <w:r w:rsidRPr="00854CA1">
        <w:rPr>
          <w:rFonts w:ascii="Times New Roman" w:hAnsi="Times New Roman" w:cs="Times New Roman"/>
        </w:rPr>
        <w:t xml:space="preserve">Pentru componenta apă, se propun </w:t>
      </w:r>
      <w:r w:rsidRPr="00854CA1">
        <w:rPr>
          <w:rFonts w:ascii="Times New Roman" w:hAnsi="Times New Roman" w:cs="Times New Roman"/>
          <w:b/>
          <w:bCs/>
        </w:rPr>
        <w:t>dezvoltarea și ecologizarea transportului naval</w:t>
      </w:r>
      <w:r w:rsidRPr="00854CA1">
        <w:rPr>
          <w:rFonts w:ascii="Times New Roman" w:hAnsi="Times New Roman" w:cs="Times New Roman"/>
        </w:rPr>
        <w:t xml:space="preserve">, </w:t>
      </w:r>
      <w:r w:rsidRPr="00854CA1">
        <w:rPr>
          <w:rFonts w:ascii="Times New Roman" w:hAnsi="Times New Roman" w:cs="Times New Roman"/>
          <w:b/>
          <w:bCs/>
        </w:rPr>
        <w:t>consolidarea porturilor (Tulcea–Sulina)</w:t>
      </w:r>
      <w:r w:rsidRPr="00854CA1">
        <w:rPr>
          <w:rFonts w:ascii="Times New Roman" w:hAnsi="Times New Roman" w:cs="Times New Roman"/>
        </w:rPr>
        <w:t xml:space="preserve">, </w:t>
      </w:r>
      <w:r w:rsidRPr="00854CA1">
        <w:rPr>
          <w:rFonts w:ascii="Times New Roman" w:hAnsi="Times New Roman" w:cs="Times New Roman"/>
          <w:b/>
          <w:bCs/>
        </w:rPr>
        <w:t>deschiderea PTF Chilia Nouă–Chilia Veche</w:t>
      </w:r>
      <w:r w:rsidRPr="00854CA1">
        <w:rPr>
          <w:rFonts w:ascii="Times New Roman" w:hAnsi="Times New Roman" w:cs="Times New Roman"/>
        </w:rPr>
        <w:t xml:space="preserve"> și valorificarea </w:t>
      </w:r>
      <w:r w:rsidRPr="00854CA1">
        <w:rPr>
          <w:rFonts w:ascii="Times New Roman" w:hAnsi="Times New Roman" w:cs="Times New Roman"/>
          <w:b/>
          <w:bCs/>
        </w:rPr>
        <w:t>Zonei Libere Sulina (AZL)</w:t>
      </w:r>
      <w:r w:rsidRPr="00854CA1">
        <w:rPr>
          <w:rFonts w:ascii="Times New Roman" w:hAnsi="Times New Roman" w:cs="Times New Roman"/>
        </w:rPr>
        <w:t xml:space="preserve">. Pe feroviar, apare </w:t>
      </w:r>
      <w:r w:rsidRPr="00854CA1">
        <w:rPr>
          <w:rFonts w:ascii="Times New Roman" w:hAnsi="Times New Roman" w:cs="Times New Roman"/>
          <w:b/>
          <w:bCs/>
        </w:rPr>
        <w:t>electrificarea și extinderea rețelei</w:t>
      </w:r>
      <w:r w:rsidRPr="00854CA1">
        <w:rPr>
          <w:rFonts w:ascii="Times New Roman" w:hAnsi="Times New Roman" w:cs="Times New Roman"/>
        </w:rPr>
        <w:t xml:space="preserve">. Pe dimensiunea instituțională, sunt menționate </w:t>
      </w:r>
      <w:r w:rsidRPr="00854CA1">
        <w:rPr>
          <w:rFonts w:ascii="Times New Roman" w:hAnsi="Times New Roman" w:cs="Times New Roman"/>
          <w:b/>
          <w:bCs/>
        </w:rPr>
        <w:t>parteneriate public–privat</w:t>
      </w:r>
      <w:r w:rsidRPr="00854CA1">
        <w:rPr>
          <w:rFonts w:ascii="Times New Roman" w:hAnsi="Times New Roman" w:cs="Times New Roman"/>
        </w:rPr>
        <w:t xml:space="preserve">, </w:t>
      </w:r>
      <w:r w:rsidRPr="00854CA1">
        <w:rPr>
          <w:rFonts w:ascii="Times New Roman" w:hAnsi="Times New Roman" w:cs="Times New Roman"/>
          <w:b/>
          <w:bCs/>
        </w:rPr>
        <w:t>colaborare interinstituțională</w:t>
      </w:r>
      <w:r w:rsidRPr="00854CA1">
        <w:rPr>
          <w:rFonts w:ascii="Times New Roman" w:hAnsi="Times New Roman" w:cs="Times New Roman"/>
        </w:rPr>
        <w:t xml:space="preserve"> și </w:t>
      </w:r>
      <w:r w:rsidRPr="00854CA1">
        <w:rPr>
          <w:rFonts w:ascii="Times New Roman" w:hAnsi="Times New Roman" w:cs="Times New Roman"/>
          <w:b/>
          <w:bCs/>
        </w:rPr>
        <w:t>accesarea fondurilor europene</w:t>
      </w:r>
      <w:r w:rsidR="00F74A8E">
        <w:rPr>
          <w:rFonts w:ascii="Times New Roman" w:hAnsi="Times New Roman" w:cs="Times New Roman"/>
        </w:rPr>
        <w:t>.</w:t>
      </w:r>
    </w:p>
    <w:p w14:paraId="64D1AF65" w14:textId="77777777" w:rsidR="00F74A8E" w:rsidRPr="00854CA1" w:rsidRDefault="00F74A8E" w:rsidP="002E0C1B">
      <w:pPr>
        <w:spacing w:before="120" w:after="120" w:line="240" w:lineRule="auto"/>
        <w:jc w:val="both"/>
        <w:rPr>
          <w:rFonts w:ascii="Times New Roman" w:hAnsi="Times New Roman" w:cs="Times New Roman"/>
        </w:rPr>
      </w:pPr>
    </w:p>
    <w:p w14:paraId="3A6A864A" w14:textId="2D2211BC" w:rsidR="00854CA1" w:rsidRPr="002E0C1B" w:rsidRDefault="00854CA1" w:rsidP="00B651A9">
      <w:pPr>
        <w:spacing w:before="120" w:after="120" w:line="240" w:lineRule="auto"/>
        <w:jc w:val="both"/>
        <w:rPr>
          <w:rFonts w:ascii="Times New Roman" w:hAnsi="Times New Roman" w:cs="Times New Roman"/>
          <w:b/>
          <w:bCs/>
        </w:rPr>
      </w:pPr>
      <w:r w:rsidRPr="002E0C1B">
        <w:rPr>
          <w:rFonts w:ascii="Times New Roman" w:hAnsi="Times New Roman" w:cs="Times New Roman"/>
          <w:b/>
          <w:bCs/>
        </w:rPr>
        <w:lastRenderedPageBreak/>
        <w:t>20. Vă rugăm să menționați orice propuneri de proiecte, intervenții sau idei care ar putea contribui la dezvoltarea transporturilor în județul Tulcea</w:t>
      </w:r>
    </w:p>
    <w:p w14:paraId="63E3D7B6" w14:textId="5D29863E" w:rsidR="00854CA1" w:rsidRPr="00854CA1" w:rsidRDefault="00854CA1" w:rsidP="00B651A9">
      <w:pPr>
        <w:spacing w:before="120" w:after="120" w:line="240" w:lineRule="auto"/>
        <w:jc w:val="both"/>
        <w:rPr>
          <w:rFonts w:ascii="Times New Roman" w:hAnsi="Times New Roman" w:cs="Times New Roman"/>
        </w:rPr>
      </w:pPr>
      <w:r w:rsidRPr="00854CA1">
        <w:rPr>
          <w:rFonts w:ascii="Times New Roman" w:hAnsi="Times New Roman" w:cs="Times New Roman"/>
        </w:rPr>
        <w:t>Răspunsurile deschise conturează câteva direcții recurente de proiecte, cu accent pe integrarea modurilor și pe conectivitatea internă–externă a județului</w:t>
      </w:r>
      <w:r w:rsidR="00B651A9">
        <w:rPr>
          <w:rFonts w:ascii="Times New Roman" w:hAnsi="Times New Roman" w:cs="Times New Roman"/>
        </w:rPr>
        <w:t>:</w:t>
      </w:r>
    </w:p>
    <w:p w14:paraId="36D74AD8" w14:textId="77777777" w:rsidR="00854CA1" w:rsidRPr="00B651A9" w:rsidRDefault="00854CA1" w:rsidP="00D81598">
      <w:pPr>
        <w:pStyle w:val="Listparagraf"/>
        <w:numPr>
          <w:ilvl w:val="0"/>
          <w:numId w:val="38"/>
        </w:numPr>
        <w:spacing w:before="120" w:after="120" w:line="240" w:lineRule="auto"/>
        <w:contextualSpacing w:val="0"/>
        <w:jc w:val="both"/>
        <w:rPr>
          <w:rFonts w:ascii="Times New Roman" w:hAnsi="Times New Roman" w:cs="Times New Roman"/>
        </w:rPr>
      </w:pPr>
      <w:r w:rsidRPr="00B651A9">
        <w:rPr>
          <w:rFonts w:ascii="Times New Roman" w:hAnsi="Times New Roman" w:cs="Times New Roman"/>
        </w:rPr>
        <w:t xml:space="preserve">Se propune </w:t>
      </w:r>
      <w:r w:rsidRPr="00B651A9">
        <w:rPr>
          <w:rFonts w:ascii="Times New Roman" w:hAnsi="Times New Roman" w:cs="Times New Roman"/>
          <w:b/>
          <w:bCs/>
        </w:rPr>
        <w:t>realizarea unui hub logistic/intermodal</w:t>
      </w:r>
      <w:r w:rsidRPr="00B651A9">
        <w:rPr>
          <w:rFonts w:ascii="Times New Roman" w:hAnsi="Times New Roman" w:cs="Times New Roman"/>
        </w:rPr>
        <w:t xml:space="preserve">—menționat explicit pentru </w:t>
      </w:r>
      <w:r w:rsidRPr="00B651A9">
        <w:rPr>
          <w:rFonts w:ascii="Times New Roman" w:hAnsi="Times New Roman" w:cs="Times New Roman"/>
          <w:b/>
          <w:bCs/>
        </w:rPr>
        <w:t>Isaccea</w:t>
      </w:r>
      <w:r w:rsidRPr="00B651A9">
        <w:rPr>
          <w:rFonts w:ascii="Times New Roman" w:hAnsi="Times New Roman" w:cs="Times New Roman"/>
        </w:rPr>
        <w:t xml:space="preserve"> și pentru </w:t>
      </w:r>
      <w:r w:rsidRPr="00B651A9">
        <w:rPr>
          <w:rFonts w:ascii="Times New Roman" w:hAnsi="Times New Roman" w:cs="Times New Roman"/>
          <w:b/>
          <w:bCs/>
        </w:rPr>
        <w:t>zona Portului Industrial Tulcea</w:t>
      </w:r>
      <w:r w:rsidRPr="00B651A9">
        <w:rPr>
          <w:rFonts w:ascii="Times New Roman" w:hAnsi="Times New Roman" w:cs="Times New Roman"/>
        </w:rPr>
        <w:t>—</w:t>
      </w:r>
      <w:r w:rsidRPr="00B651A9">
        <w:rPr>
          <w:rFonts w:ascii="Times New Roman" w:hAnsi="Times New Roman" w:cs="Times New Roman"/>
          <w:b/>
          <w:bCs/>
        </w:rPr>
        <w:t>care să lege aerianul, navalul, feroviarul și rutierul</w:t>
      </w:r>
      <w:r w:rsidRPr="00B651A9">
        <w:rPr>
          <w:rFonts w:ascii="Times New Roman" w:hAnsi="Times New Roman" w:cs="Times New Roman"/>
        </w:rPr>
        <w:t xml:space="preserve">, cu </w:t>
      </w:r>
      <w:r w:rsidRPr="00B651A9">
        <w:rPr>
          <w:rFonts w:ascii="Times New Roman" w:hAnsi="Times New Roman" w:cs="Times New Roman"/>
          <w:b/>
          <w:bCs/>
        </w:rPr>
        <w:t>platforme de manipulare a mărfurilor, depozitare și servicii adiacente producției</w:t>
      </w:r>
      <w:r w:rsidRPr="00B651A9">
        <w:rPr>
          <w:rFonts w:ascii="Times New Roman" w:hAnsi="Times New Roman" w:cs="Times New Roman"/>
        </w:rPr>
        <w:t xml:space="preserve">. În aceeași logică apare </w:t>
      </w:r>
      <w:r w:rsidRPr="00B651A9">
        <w:rPr>
          <w:rFonts w:ascii="Times New Roman" w:hAnsi="Times New Roman" w:cs="Times New Roman"/>
          <w:b/>
          <w:bCs/>
        </w:rPr>
        <w:t>extinderea transbordării la Sulina</w:t>
      </w:r>
      <w:r w:rsidRPr="00B651A9">
        <w:rPr>
          <w:rFonts w:ascii="Times New Roman" w:hAnsi="Times New Roman" w:cs="Times New Roman"/>
        </w:rPr>
        <w:t>.</w:t>
      </w:r>
    </w:p>
    <w:p w14:paraId="7C5EFF41" w14:textId="77777777" w:rsidR="00854CA1" w:rsidRPr="00B651A9" w:rsidRDefault="00854CA1" w:rsidP="00D81598">
      <w:pPr>
        <w:pStyle w:val="Listparagraf"/>
        <w:numPr>
          <w:ilvl w:val="0"/>
          <w:numId w:val="38"/>
        </w:numPr>
        <w:spacing w:before="120" w:after="120" w:line="240" w:lineRule="auto"/>
        <w:contextualSpacing w:val="0"/>
        <w:jc w:val="both"/>
        <w:rPr>
          <w:rFonts w:ascii="Times New Roman" w:hAnsi="Times New Roman" w:cs="Times New Roman"/>
        </w:rPr>
      </w:pPr>
      <w:r w:rsidRPr="00B651A9">
        <w:rPr>
          <w:rFonts w:ascii="Times New Roman" w:hAnsi="Times New Roman" w:cs="Times New Roman"/>
        </w:rPr>
        <w:t xml:space="preserve">Pe rutier, propunerile vizează </w:t>
      </w:r>
      <w:r w:rsidRPr="00B651A9">
        <w:rPr>
          <w:rFonts w:ascii="Times New Roman" w:hAnsi="Times New Roman" w:cs="Times New Roman"/>
          <w:b/>
          <w:bCs/>
        </w:rPr>
        <w:t>drumul expres Brăila–Măcin–Isaccea–Tulcea–Constanța</w:t>
      </w:r>
      <w:r w:rsidRPr="00B651A9">
        <w:rPr>
          <w:rFonts w:ascii="Times New Roman" w:hAnsi="Times New Roman" w:cs="Times New Roman"/>
        </w:rPr>
        <w:t xml:space="preserve">, </w:t>
      </w:r>
      <w:r w:rsidRPr="00B651A9">
        <w:rPr>
          <w:rFonts w:ascii="Times New Roman" w:hAnsi="Times New Roman" w:cs="Times New Roman"/>
          <w:b/>
          <w:bCs/>
        </w:rPr>
        <w:t>centura ocolitoare a orașului Măcin</w:t>
      </w:r>
      <w:r w:rsidRPr="00B651A9">
        <w:rPr>
          <w:rFonts w:ascii="Times New Roman" w:hAnsi="Times New Roman" w:cs="Times New Roman"/>
        </w:rPr>
        <w:t xml:space="preserve">, modernizarea conexiunilor către </w:t>
      </w:r>
      <w:r w:rsidRPr="00B651A9">
        <w:rPr>
          <w:rFonts w:ascii="Times New Roman" w:hAnsi="Times New Roman" w:cs="Times New Roman"/>
          <w:b/>
          <w:bCs/>
        </w:rPr>
        <w:t>DN-urile/coridoarele europene</w:t>
      </w:r>
      <w:r w:rsidRPr="00B651A9">
        <w:rPr>
          <w:rFonts w:ascii="Times New Roman" w:hAnsi="Times New Roman" w:cs="Times New Roman"/>
        </w:rPr>
        <w:t xml:space="preserve">, </w:t>
      </w:r>
      <w:r w:rsidRPr="00B651A9">
        <w:rPr>
          <w:rFonts w:ascii="Times New Roman" w:hAnsi="Times New Roman" w:cs="Times New Roman"/>
          <w:b/>
          <w:bCs/>
        </w:rPr>
        <w:t>drumul Tulcea–Gorgova</w:t>
      </w:r>
      <w:r w:rsidRPr="00B651A9">
        <w:rPr>
          <w:rFonts w:ascii="Times New Roman" w:hAnsi="Times New Roman" w:cs="Times New Roman"/>
        </w:rPr>
        <w:t xml:space="preserve"> și </w:t>
      </w:r>
      <w:r w:rsidRPr="00B651A9">
        <w:rPr>
          <w:rFonts w:ascii="Times New Roman" w:hAnsi="Times New Roman" w:cs="Times New Roman"/>
          <w:b/>
          <w:bCs/>
        </w:rPr>
        <w:t>o legătură rutieră rapidă (autostradă) între port și restul țării</w:t>
      </w:r>
      <w:r w:rsidRPr="00B651A9">
        <w:rPr>
          <w:rFonts w:ascii="Times New Roman" w:hAnsi="Times New Roman" w:cs="Times New Roman"/>
        </w:rPr>
        <w:t xml:space="preserve">. Pentru componenta portuară apar </w:t>
      </w:r>
      <w:r w:rsidRPr="00B651A9">
        <w:rPr>
          <w:rFonts w:ascii="Times New Roman" w:hAnsi="Times New Roman" w:cs="Times New Roman"/>
          <w:b/>
          <w:bCs/>
        </w:rPr>
        <w:t>dezvoltarea Portului Măcin</w:t>
      </w:r>
      <w:r w:rsidRPr="00B651A9">
        <w:rPr>
          <w:rFonts w:ascii="Times New Roman" w:hAnsi="Times New Roman" w:cs="Times New Roman"/>
        </w:rPr>
        <w:t xml:space="preserve"> și </w:t>
      </w:r>
      <w:r w:rsidRPr="00B651A9">
        <w:rPr>
          <w:rFonts w:ascii="Times New Roman" w:hAnsi="Times New Roman" w:cs="Times New Roman"/>
          <w:b/>
          <w:bCs/>
        </w:rPr>
        <w:t>înființarea/modernizarea unui port comercial</w:t>
      </w:r>
      <w:r w:rsidRPr="00B651A9">
        <w:rPr>
          <w:rFonts w:ascii="Times New Roman" w:hAnsi="Times New Roman" w:cs="Times New Roman"/>
        </w:rPr>
        <w:t>.</w:t>
      </w:r>
    </w:p>
    <w:p w14:paraId="6373690E" w14:textId="77777777" w:rsidR="00854CA1" w:rsidRPr="00B651A9" w:rsidRDefault="00854CA1" w:rsidP="00D81598">
      <w:pPr>
        <w:pStyle w:val="Listparagraf"/>
        <w:numPr>
          <w:ilvl w:val="0"/>
          <w:numId w:val="38"/>
        </w:numPr>
        <w:spacing w:before="120" w:after="120" w:line="240" w:lineRule="auto"/>
        <w:contextualSpacing w:val="0"/>
        <w:jc w:val="both"/>
        <w:rPr>
          <w:rFonts w:ascii="Times New Roman" w:hAnsi="Times New Roman" w:cs="Times New Roman"/>
        </w:rPr>
      </w:pPr>
      <w:r w:rsidRPr="00B651A9">
        <w:rPr>
          <w:rFonts w:ascii="Times New Roman" w:hAnsi="Times New Roman" w:cs="Times New Roman"/>
        </w:rPr>
        <w:t xml:space="preserve">Pe feroviar, respondenții indică </w:t>
      </w:r>
      <w:r w:rsidRPr="00B651A9">
        <w:rPr>
          <w:rFonts w:ascii="Times New Roman" w:hAnsi="Times New Roman" w:cs="Times New Roman"/>
          <w:b/>
          <w:bCs/>
        </w:rPr>
        <w:t>reabilitarea căii ferate Tulcea–Medgidia</w:t>
      </w:r>
      <w:r w:rsidRPr="00B651A9">
        <w:rPr>
          <w:rFonts w:ascii="Times New Roman" w:hAnsi="Times New Roman" w:cs="Times New Roman"/>
        </w:rPr>
        <w:t xml:space="preserve">, </w:t>
      </w:r>
      <w:r w:rsidRPr="00B651A9">
        <w:rPr>
          <w:rFonts w:ascii="Times New Roman" w:hAnsi="Times New Roman" w:cs="Times New Roman"/>
          <w:b/>
          <w:bCs/>
        </w:rPr>
        <w:t>electrificare și extinderi de rețea</w:t>
      </w:r>
      <w:r w:rsidRPr="00B651A9">
        <w:rPr>
          <w:rFonts w:ascii="Times New Roman" w:hAnsi="Times New Roman" w:cs="Times New Roman"/>
        </w:rPr>
        <w:t xml:space="preserve">, inclusiv </w:t>
      </w:r>
      <w:r w:rsidRPr="00B651A9">
        <w:rPr>
          <w:rFonts w:ascii="Times New Roman" w:hAnsi="Times New Roman" w:cs="Times New Roman"/>
          <w:b/>
          <w:bCs/>
        </w:rPr>
        <w:t>o conexiune feroviară la aeroport</w:t>
      </w:r>
      <w:r w:rsidRPr="00B651A9">
        <w:rPr>
          <w:rFonts w:ascii="Times New Roman" w:hAnsi="Times New Roman" w:cs="Times New Roman"/>
        </w:rPr>
        <w:t xml:space="preserve"> și </w:t>
      </w:r>
      <w:r w:rsidRPr="00B651A9">
        <w:rPr>
          <w:rFonts w:ascii="Times New Roman" w:hAnsi="Times New Roman" w:cs="Times New Roman"/>
          <w:b/>
          <w:bCs/>
        </w:rPr>
        <w:t>tren rapid Tulcea–București</w:t>
      </w:r>
      <w:r w:rsidRPr="00B651A9">
        <w:rPr>
          <w:rFonts w:ascii="Times New Roman" w:hAnsi="Times New Roman" w:cs="Times New Roman"/>
        </w:rPr>
        <w:t xml:space="preserve">. Pentru aerian, se menționează </w:t>
      </w:r>
      <w:r w:rsidRPr="00B651A9">
        <w:rPr>
          <w:rFonts w:ascii="Times New Roman" w:hAnsi="Times New Roman" w:cs="Times New Roman"/>
          <w:b/>
          <w:bCs/>
        </w:rPr>
        <w:t>dezvoltarea Aeroportului Tulcea</w:t>
      </w:r>
      <w:r w:rsidRPr="00B651A9">
        <w:rPr>
          <w:rFonts w:ascii="Times New Roman" w:hAnsi="Times New Roman" w:cs="Times New Roman"/>
        </w:rPr>
        <w:t xml:space="preserve"> pentru </w:t>
      </w:r>
      <w:r w:rsidRPr="00B651A9">
        <w:rPr>
          <w:rFonts w:ascii="Times New Roman" w:hAnsi="Times New Roman" w:cs="Times New Roman"/>
          <w:b/>
          <w:bCs/>
        </w:rPr>
        <w:t>pasageri și cargo</w:t>
      </w:r>
      <w:r w:rsidRPr="00B651A9">
        <w:rPr>
          <w:rFonts w:ascii="Times New Roman" w:hAnsi="Times New Roman" w:cs="Times New Roman"/>
        </w:rPr>
        <w:t>.</w:t>
      </w:r>
    </w:p>
    <w:p w14:paraId="5D923572" w14:textId="77777777" w:rsidR="00854CA1" w:rsidRPr="00B651A9" w:rsidRDefault="00854CA1" w:rsidP="00D81598">
      <w:pPr>
        <w:pStyle w:val="Listparagraf"/>
        <w:numPr>
          <w:ilvl w:val="0"/>
          <w:numId w:val="38"/>
        </w:numPr>
        <w:spacing w:before="120" w:after="120" w:line="240" w:lineRule="auto"/>
        <w:contextualSpacing w:val="0"/>
        <w:jc w:val="both"/>
        <w:rPr>
          <w:rFonts w:ascii="Times New Roman" w:hAnsi="Times New Roman" w:cs="Times New Roman"/>
        </w:rPr>
      </w:pPr>
      <w:r w:rsidRPr="00B651A9">
        <w:rPr>
          <w:rFonts w:ascii="Times New Roman" w:hAnsi="Times New Roman" w:cs="Times New Roman"/>
        </w:rPr>
        <w:t xml:space="preserve">Pe zona serviciilor și a mobilității turistice, apar idei de </w:t>
      </w:r>
      <w:r w:rsidRPr="00B651A9">
        <w:rPr>
          <w:rFonts w:ascii="Times New Roman" w:hAnsi="Times New Roman" w:cs="Times New Roman"/>
          <w:b/>
          <w:bCs/>
        </w:rPr>
        <w:t>transport naval cu emisii reduse</w:t>
      </w:r>
      <w:r w:rsidRPr="00B651A9">
        <w:rPr>
          <w:rFonts w:ascii="Times New Roman" w:hAnsi="Times New Roman" w:cs="Times New Roman"/>
        </w:rPr>
        <w:t xml:space="preserve"> și de </w:t>
      </w:r>
      <w:r w:rsidRPr="00B651A9">
        <w:rPr>
          <w:rFonts w:ascii="Times New Roman" w:hAnsi="Times New Roman" w:cs="Times New Roman"/>
          <w:b/>
          <w:bCs/>
        </w:rPr>
        <w:t>circuite „hop-on/hop-off”</w:t>
      </w:r>
      <w:r w:rsidRPr="00B651A9">
        <w:rPr>
          <w:rFonts w:ascii="Times New Roman" w:hAnsi="Times New Roman" w:cs="Times New Roman"/>
        </w:rPr>
        <w:t xml:space="preserve"> pentru acces ordonat în Delta Dunării, cu obiectivul reducerii </w:t>
      </w:r>
      <w:r w:rsidRPr="00B651A9">
        <w:rPr>
          <w:rFonts w:ascii="Times New Roman" w:hAnsi="Times New Roman" w:cs="Times New Roman"/>
          <w:b/>
          <w:bCs/>
        </w:rPr>
        <w:t>fluxului auto</w:t>
      </w:r>
      <w:r w:rsidRPr="00B651A9">
        <w:rPr>
          <w:rFonts w:ascii="Times New Roman" w:hAnsi="Times New Roman" w:cs="Times New Roman"/>
        </w:rPr>
        <w:t xml:space="preserve"> prin </w:t>
      </w:r>
      <w:r w:rsidRPr="00B651A9">
        <w:rPr>
          <w:rFonts w:ascii="Times New Roman" w:hAnsi="Times New Roman" w:cs="Times New Roman"/>
          <w:b/>
          <w:bCs/>
        </w:rPr>
        <w:t>soluții nepoluante</w:t>
      </w:r>
      <w:r w:rsidRPr="00B651A9">
        <w:rPr>
          <w:rFonts w:ascii="Times New Roman" w:hAnsi="Times New Roman" w:cs="Times New Roman"/>
        </w:rPr>
        <w:t xml:space="preserve">. Ca element transversal, este menționată </w:t>
      </w:r>
      <w:r w:rsidRPr="00B651A9">
        <w:rPr>
          <w:rFonts w:ascii="Times New Roman" w:hAnsi="Times New Roman" w:cs="Times New Roman"/>
          <w:b/>
          <w:bCs/>
        </w:rPr>
        <w:t>accesarea și utilizarea eficientă a fondurilor europene</w:t>
      </w:r>
      <w:r w:rsidRPr="00B651A9">
        <w:rPr>
          <w:rFonts w:ascii="Times New Roman" w:hAnsi="Times New Roman" w:cs="Times New Roman"/>
        </w:rPr>
        <w:t>.</w:t>
      </w:r>
    </w:p>
    <w:p w14:paraId="4D193DD1" w14:textId="77777777" w:rsidR="00854CA1" w:rsidRPr="00854CA1" w:rsidRDefault="00854CA1" w:rsidP="00B651A9">
      <w:pPr>
        <w:spacing w:before="120" w:after="120" w:line="240" w:lineRule="auto"/>
        <w:jc w:val="both"/>
        <w:rPr>
          <w:rFonts w:ascii="Times New Roman" w:hAnsi="Times New Roman" w:cs="Times New Roman"/>
        </w:rPr>
      </w:pPr>
      <w:r w:rsidRPr="00854CA1">
        <w:rPr>
          <w:rFonts w:ascii="Times New Roman" w:hAnsi="Times New Roman" w:cs="Times New Roman"/>
        </w:rPr>
        <w:t xml:space="preserve">În ansamblu, propunerile urmăresc </w:t>
      </w:r>
      <w:r w:rsidRPr="00854CA1">
        <w:rPr>
          <w:rFonts w:ascii="Times New Roman" w:hAnsi="Times New Roman" w:cs="Times New Roman"/>
          <w:b/>
          <w:bCs/>
        </w:rPr>
        <w:t>organizarea fluxurilor pe axa Dunăre–Marea Neagră</w:t>
      </w:r>
      <w:r w:rsidRPr="00854CA1">
        <w:rPr>
          <w:rFonts w:ascii="Times New Roman" w:hAnsi="Times New Roman" w:cs="Times New Roman"/>
        </w:rPr>
        <w:t xml:space="preserve">, </w:t>
      </w:r>
      <w:r w:rsidRPr="00854CA1">
        <w:rPr>
          <w:rFonts w:ascii="Times New Roman" w:hAnsi="Times New Roman" w:cs="Times New Roman"/>
          <w:b/>
          <w:bCs/>
        </w:rPr>
        <w:t>legarea port–gară–aeroport</w:t>
      </w:r>
      <w:r w:rsidRPr="00854CA1">
        <w:rPr>
          <w:rFonts w:ascii="Times New Roman" w:hAnsi="Times New Roman" w:cs="Times New Roman"/>
        </w:rPr>
        <w:t xml:space="preserve"> prin noduri intermodale și </w:t>
      </w:r>
      <w:r w:rsidRPr="00854CA1">
        <w:rPr>
          <w:rFonts w:ascii="Times New Roman" w:hAnsi="Times New Roman" w:cs="Times New Roman"/>
          <w:b/>
          <w:bCs/>
        </w:rPr>
        <w:t>îmbunătățirea conexiunilor rutiere</w:t>
      </w:r>
      <w:r w:rsidRPr="00854CA1">
        <w:rPr>
          <w:rFonts w:ascii="Times New Roman" w:hAnsi="Times New Roman" w:cs="Times New Roman"/>
        </w:rPr>
        <w:t xml:space="preserve"> către rețeaua națională, astfel încât Tulcea să valorifice specificul său fluvial-maritim și structura teritorială dispersată.</w:t>
      </w:r>
    </w:p>
    <w:p w14:paraId="3C40F9BC" w14:textId="263D199E" w:rsidR="00854CA1" w:rsidRPr="002E0C1B" w:rsidRDefault="00854CA1" w:rsidP="002E0C1B">
      <w:pPr>
        <w:spacing w:before="120" w:after="120" w:line="240" w:lineRule="auto"/>
        <w:jc w:val="both"/>
        <w:rPr>
          <w:rFonts w:ascii="Times New Roman" w:hAnsi="Times New Roman" w:cs="Times New Roman"/>
          <w:b/>
          <w:bCs/>
        </w:rPr>
      </w:pPr>
      <w:r w:rsidRPr="002E0C1B">
        <w:rPr>
          <w:rFonts w:ascii="Times New Roman" w:hAnsi="Times New Roman" w:cs="Times New Roman"/>
          <w:b/>
          <w:bCs/>
        </w:rPr>
        <w:t>21. Dacă ar trebui să rezumați într-o singură frază VIZIUNEA de dezvoltare a transporturilor în județul Tulcea pentru 2030, care ar fi aceasta?</w:t>
      </w:r>
    </w:p>
    <w:p w14:paraId="7B639CB6" w14:textId="5F41399D" w:rsidR="002E4F1A" w:rsidRPr="00F74A8E" w:rsidRDefault="002E4F1A" w:rsidP="002E0C1B">
      <w:pPr>
        <w:spacing w:before="120" w:after="120" w:line="240" w:lineRule="auto"/>
        <w:jc w:val="both"/>
        <w:rPr>
          <w:rFonts w:ascii="Times New Roman" w:hAnsi="Times New Roman" w:cs="Times New Roman"/>
          <w:b/>
          <w:bCs/>
        </w:rPr>
      </w:pPr>
      <w:r w:rsidRPr="00F74A8E">
        <w:rPr>
          <w:rFonts w:ascii="Times New Roman" w:hAnsi="Times New Roman" w:cs="Times New Roman"/>
          <w:b/>
          <w:bCs/>
        </w:rPr>
        <w:t>Viziune de sinteză (2030), pe baza răspunsurilor deschise</w:t>
      </w:r>
      <w:r w:rsidR="00F74A8E">
        <w:rPr>
          <w:rFonts w:ascii="Times New Roman" w:hAnsi="Times New Roman" w:cs="Times New Roman"/>
          <w:b/>
          <w:bCs/>
        </w:rPr>
        <w:t>:</w:t>
      </w:r>
    </w:p>
    <w:p w14:paraId="050C5491" w14:textId="377FF64B" w:rsidR="00854CA1" w:rsidRPr="00F74A8E" w:rsidRDefault="002E4F1A" w:rsidP="002E0C1B">
      <w:pPr>
        <w:spacing w:before="120" w:after="120" w:line="240" w:lineRule="auto"/>
        <w:jc w:val="both"/>
        <w:rPr>
          <w:rFonts w:ascii="Times New Roman" w:hAnsi="Times New Roman" w:cs="Times New Roman"/>
          <w:b/>
          <w:bCs/>
        </w:rPr>
      </w:pPr>
      <w:r w:rsidRPr="00F74A8E">
        <w:rPr>
          <w:rFonts w:ascii="Times New Roman" w:hAnsi="Times New Roman" w:cs="Times New Roman"/>
          <w:b/>
          <w:bCs/>
        </w:rPr>
        <w:t>Un sistem de transport modern, sigur, intermodal și sustenabil, conectat la rețeaua TEN-T prin drumuri expres și legături funcționale port–gară–aeroport, care reduce traficul auto urban prin alternative ecologice, valorifică Delta Dunării și funcția logistică a județului (hub/terminal), și consolidează deschiderea transfrontalieră.</w:t>
      </w:r>
    </w:p>
    <w:p w14:paraId="18F24577" w14:textId="312676FE" w:rsidR="002E4F1A" w:rsidRDefault="002E4F1A" w:rsidP="002E0C1B">
      <w:pPr>
        <w:spacing w:before="120" w:after="120" w:line="240" w:lineRule="auto"/>
        <w:jc w:val="both"/>
        <w:rPr>
          <w:rFonts w:ascii="Times New Roman" w:hAnsi="Times New Roman" w:cs="Times New Roman"/>
        </w:rPr>
      </w:pPr>
      <w:r w:rsidRPr="002E0C1B">
        <w:rPr>
          <w:rFonts w:ascii="Times New Roman" w:hAnsi="Times New Roman" w:cs="Times New Roman"/>
          <w:b/>
          <w:bCs/>
        </w:rPr>
        <w:t>Până în 2030</w:t>
      </w:r>
      <w:r w:rsidRPr="002E0C1B">
        <w:rPr>
          <w:rFonts w:ascii="Times New Roman" w:hAnsi="Times New Roman" w:cs="Times New Roman"/>
        </w:rPr>
        <w:t>, județul Tulcea urmărește</w:t>
      </w:r>
      <w:r w:rsidR="00F74A8E">
        <w:rPr>
          <w:rFonts w:ascii="Times New Roman" w:hAnsi="Times New Roman" w:cs="Times New Roman"/>
        </w:rPr>
        <w:t xml:space="preserve"> să construiască</w:t>
      </w:r>
      <w:r w:rsidRPr="002E0C1B">
        <w:rPr>
          <w:rFonts w:ascii="Times New Roman" w:hAnsi="Times New Roman" w:cs="Times New Roman"/>
        </w:rPr>
        <w:t xml:space="preserve"> un </w:t>
      </w:r>
      <w:r w:rsidRPr="002E0C1B">
        <w:rPr>
          <w:rFonts w:ascii="Times New Roman" w:hAnsi="Times New Roman" w:cs="Times New Roman"/>
          <w:b/>
          <w:bCs/>
        </w:rPr>
        <w:t>sistem de transport modern, sigur și cu emisii reduse</w:t>
      </w:r>
      <w:r w:rsidRPr="002E0C1B">
        <w:rPr>
          <w:rFonts w:ascii="Times New Roman" w:hAnsi="Times New Roman" w:cs="Times New Roman"/>
        </w:rPr>
        <w:t xml:space="preserve">, construit pe </w:t>
      </w:r>
      <w:r w:rsidRPr="002E0C1B">
        <w:rPr>
          <w:rFonts w:ascii="Times New Roman" w:hAnsi="Times New Roman" w:cs="Times New Roman"/>
          <w:b/>
          <w:bCs/>
        </w:rPr>
        <w:t>intermodalitate</w:t>
      </w:r>
      <w:r w:rsidRPr="002E0C1B">
        <w:rPr>
          <w:rFonts w:ascii="Times New Roman" w:hAnsi="Times New Roman" w:cs="Times New Roman"/>
        </w:rPr>
        <w:t xml:space="preserve"> și </w:t>
      </w:r>
      <w:r w:rsidRPr="002E0C1B">
        <w:rPr>
          <w:rFonts w:ascii="Times New Roman" w:hAnsi="Times New Roman" w:cs="Times New Roman"/>
          <w:b/>
          <w:bCs/>
        </w:rPr>
        <w:t>conectivitate externă</w:t>
      </w:r>
      <w:r w:rsidRPr="002E0C1B">
        <w:rPr>
          <w:rFonts w:ascii="Times New Roman" w:hAnsi="Times New Roman" w:cs="Times New Roman"/>
        </w:rPr>
        <w:t xml:space="preserve">, care </w:t>
      </w:r>
      <w:r w:rsidRPr="002E0C1B">
        <w:rPr>
          <w:rFonts w:ascii="Times New Roman" w:hAnsi="Times New Roman" w:cs="Times New Roman"/>
          <w:b/>
          <w:bCs/>
        </w:rPr>
        <w:t>asigură accesul echitabil al tuturor comunităților</w:t>
      </w:r>
      <w:r w:rsidRPr="002E0C1B">
        <w:rPr>
          <w:rFonts w:ascii="Times New Roman" w:hAnsi="Times New Roman" w:cs="Times New Roman"/>
        </w:rPr>
        <w:t xml:space="preserve">, în special al celor din </w:t>
      </w:r>
      <w:r w:rsidRPr="002E0C1B">
        <w:rPr>
          <w:rFonts w:ascii="Times New Roman" w:hAnsi="Times New Roman" w:cs="Times New Roman"/>
          <w:b/>
          <w:bCs/>
        </w:rPr>
        <w:t>Delta Dunării</w:t>
      </w:r>
      <w:r w:rsidRPr="002E0C1B">
        <w:rPr>
          <w:rFonts w:ascii="Times New Roman" w:hAnsi="Times New Roman" w:cs="Times New Roman"/>
        </w:rPr>
        <w:t xml:space="preserve">. Rețeaua rutieră modernizată (inclusiv legături rapide către </w:t>
      </w:r>
      <w:r w:rsidRPr="002E0C1B">
        <w:rPr>
          <w:rFonts w:ascii="Times New Roman" w:hAnsi="Times New Roman" w:cs="Times New Roman"/>
          <w:b/>
          <w:bCs/>
        </w:rPr>
        <w:t>TEN-T</w:t>
      </w:r>
      <w:r w:rsidRPr="002E0C1B">
        <w:rPr>
          <w:rFonts w:ascii="Times New Roman" w:hAnsi="Times New Roman" w:cs="Times New Roman"/>
        </w:rPr>
        <w:t xml:space="preserve">) se îmbină cu </w:t>
      </w:r>
      <w:r w:rsidRPr="002E0C1B">
        <w:rPr>
          <w:rFonts w:ascii="Times New Roman" w:hAnsi="Times New Roman" w:cs="Times New Roman"/>
          <w:b/>
          <w:bCs/>
        </w:rPr>
        <w:t>porturile Tulcea–Sulina</w:t>
      </w:r>
      <w:r w:rsidRPr="002E0C1B">
        <w:rPr>
          <w:rFonts w:ascii="Times New Roman" w:hAnsi="Times New Roman" w:cs="Times New Roman"/>
        </w:rPr>
        <w:t xml:space="preserve">, un </w:t>
      </w:r>
      <w:r w:rsidRPr="002E0C1B">
        <w:rPr>
          <w:rFonts w:ascii="Times New Roman" w:hAnsi="Times New Roman" w:cs="Times New Roman"/>
          <w:b/>
          <w:bCs/>
        </w:rPr>
        <w:t>hub logistic intermodal</w:t>
      </w:r>
      <w:r w:rsidRPr="002E0C1B">
        <w:rPr>
          <w:rFonts w:ascii="Times New Roman" w:hAnsi="Times New Roman" w:cs="Times New Roman"/>
        </w:rPr>
        <w:t xml:space="preserve"> (port–gară–aeroport–rutier), </w:t>
      </w:r>
      <w:r w:rsidRPr="002E0C1B">
        <w:rPr>
          <w:rFonts w:ascii="Times New Roman" w:hAnsi="Times New Roman" w:cs="Times New Roman"/>
          <w:b/>
          <w:bCs/>
        </w:rPr>
        <w:t>cale ferată modernizată/electrificată</w:t>
      </w:r>
      <w:r w:rsidRPr="002E0C1B">
        <w:rPr>
          <w:rFonts w:ascii="Times New Roman" w:hAnsi="Times New Roman" w:cs="Times New Roman"/>
        </w:rPr>
        <w:t xml:space="preserve"> și un </w:t>
      </w:r>
      <w:r w:rsidRPr="002E0C1B">
        <w:rPr>
          <w:rFonts w:ascii="Times New Roman" w:hAnsi="Times New Roman" w:cs="Times New Roman"/>
          <w:b/>
          <w:bCs/>
        </w:rPr>
        <w:t>aeroport operațional pentru pasageri și cargo</w:t>
      </w:r>
      <w:r w:rsidRPr="002E0C1B">
        <w:rPr>
          <w:rFonts w:ascii="Times New Roman" w:hAnsi="Times New Roman" w:cs="Times New Roman"/>
        </w:rPr>
        <w:t xml:space="preserve">, susținute de </w:t>
      </w:r>
      <w:r w:rsidRPr="002E0C1B">
        <w:rPr>
          <w:rFonts w:ascii="Times New Roman" w:hAnsi="Times New Roman" w:cs="Times New Roman"/>
          <w:b/>
          <w:bCs/>
        </w:rPr>
        <w:t>digitalizare (ITS, ticketing integrat, management al fluxurilor)</w:t>
      </w:r>
      <w:r w:rsidRPr="002E0C1B">
        <w:rPr>
          <w:rFonts w:ascii="Times New Roman" w:hAnsi="Times New Roman" w:cs="Times New Roman"/>
        </w:rPr>
        <w:t xml:space="preserve"> și de conexiuni către pontoane și terminale. Prin aceste componente, transportul sprijină </w:t>
      </w:r>
      <w:r w:rsidRPr="002E0C1B">
        <w:rPr>
          <w:rFonts w:ascii="Times New Roman" w:hAnsi="Times New Roman" w:cs="Times New Roman"/>
          <w:b/>
          <w:bCs/>
        </w:rPr>
        <w:t>lanțurile logistice regionale</w:t>
      </w:r>
      <w:r w:rsidRPr="002E0C1B">
        <w:rPr>
          <w:rFonts w:ascii="Times New Roman" w:hAnsi="Times New Roman" w:cs="Times New Roman"/>
        </w:rPr>
        <w:t xml:space="preserve">, </w:t>
      </w:r>
      <w:r w:rsidRPr="002E0C1B">
        <w:rPr>
          <w:rFonts w:ascii="Times New Roman" w:hAnsi="Times New Roman" w:cs="Times New Roman"/>
          <w:b/>
          <w:bCs/>
        </w:rPr>
        <w:t>turismul responsabil</w:t>
      </w:r>
      <w:r w:rsidRPr="002E0C1B">
        <w:rPr>
          <w:rFonts w:ascii="Times New Roman" w:hAnsi="Times New Roman" w:cs="Times New Roman"/>
        </w:rPr>
        <w:t xml:space="preserve">, </w:t>
      </w:r>
      <w:r w:rsidRPr="002E0C1B">
        <w:rPr>
          <w:rFonts w:ascii="Times New Roman" w:hAnsi="Times New Roman" w:cs="Times New Roman"/>
          <w:b/>
          <w:bCs/>
        </w:rPr>
        <w:t>agricultura și pescuitul</w:t>
      </w:r>
      <w:r w:rsidRPr="002E0C1B">
        <w:rPr>
          <w:rFonts w:ascii="Times New Roman" w:hAnsi="Times New Roman" w:cs="Times New Roman"/>
        </w:rPr>
        <w:t xml:space="preserve"> și </w:t>
      </w:r>
      <w:r w:rsidRPr="002E0C1B">
        <w:rPr>
          <w:rFonts w:ascii="Times New Roman" w:hAnsi="Times New Roman" w:cs="Times New Roman"/>
          <w:b/>
          <w:bCs/>
        </w:rPr>
        <w:t>industria locală</w:t>
      </w:r>
      <w:r w:rsidRPr="002E0C1B">
        <w:rPr>
          <w:rFonts w:ascii="Times New Roman" w:hAnsi="Times New Roman" w:cs="Times New Roman"/>
        </w:rPr>
        <w:t xml:space="preserve">, întărind </w:t>
      </w:r>
      <w:r w:rsidRPr="002E0C1B">
        <w:rPr>
          <w:rFonts w:ascii="Times New Roman" w:hAnsi="Times New Roman" w:cs="Times New Roman"/>
          <w:b/>
          <w:bCs/>
        </w:rPr>
        <w:t>rolul transfrontalier</w:t>
      </w:r>
      <w:r w:rsidRPr="002E0C1B">
        <w:rPr>
          <w:rFonts w:ascii="Times New Roman" w:hAnsi="Times New Roman" w:cs="Times New Roman"/>
        </w:rPr>
        <w:t xml:space="preserve"> al județului pe axa </w:t>
      </w:r>
      <w:r w:rsidRPr="002E0C1B">
        <w:rPr>
          <w:rFonts w:ascii="Times New Roman" w:hAnsi="Times New Roman" w:cs="Times New Roman"/>
          <w:b/>
          <w:bCs/>
        </w:rPr>
        <w:t>UE–Ucraina/Marea Neagră</w:t>
      </w:r>
      <w:r w:rsidRPr="002E0C1B">
        <w:rPr>
          <w:rFonts w:ascii="Times New Roman" w:hAnsi="Times New Roman" w:cs="Times New Roman"/>
        </w:rPr>
        <w:t xml:space="preserve">, creșterea </w:t>
      </w:r>
      <w:r w:rsidRPr="002E0C1B">
        <w:rPr>
          <w:rFonts w:ascii="Times New Roman" w:hAnsi="Times New Roman" w:cs="Times New Roman"/>
          <w:b/>
          <w:bCs/>
        </w:rPr>
        <w:t>siguranței rutiere și navale</w:t>
      </w:r>
      <w:r w:rsidRPr="002E0C1B">
        <w:rPr>
          <w:rFonts w:ascii="Times New Roman" w:hAnsi="Times New Roman" w:cs="Times New Roman"/>
        </w:rPr>
        <w:t xml:space="preserve">, </w:t>
      </w:r>
      <w:r w:rsidRPr="002E0C1B">
        <w:rPr>
          <w:rFonts w:ascii="Times New Roman" w:hAnsi="Times New Roman" w:cs="Times New Roman"/>
          <w:b/>
          <w:bCs/>
        </w:rPr>
        <w:t>reziliența climatică</w:t>
      </w:r>
      <w:r w:rsidRPr="002E0C1B">
        <w:rPr>
          <w:rFonts w:ascii="Times New Roman" w:hAnsi="Times New Roman" w:cs="Times New Roman"/>
        </w:rPr>
        <w:t xml:space="preserve"> și </w:t>
      </w:r>
      <w:r w:rsidRPr="002E0C1B">
        <w:rPr>
          <w:rFonts w:ascii="Times New Roman" w:hAnsi="Times New Roman" w:cs="Times New Roman"/>
          <w:b/>
          <w:bCs/>
        </w:rPr>
        <w:t>calitatea vieții</w:t>
      </w:r>
      <w:r w:rsidRPr="002E0C1B">
        <w:rPr>
          <w:rFonts w:ascii="Times New Roman" w:hAnsi="Times New Roman" w:cs="Times New Roman"/>
        </w:rPr>
        <w:t>.</w:t>
      </w:r>
    </w:p>
    <w:p w14:paraId="11A291F4" w14:textId="77777777" w:rsidR="002D3BA4" w:rsidRPr="002E0C1B" w:rsidRDefault="002D3BA4" w:rsidP="002E0C1B">
      <w:pPr>
        <w:spacing w:before="120" w:after="120" w:line="240" w:lineRule="auto"/>
        <w:jc w:val="both"/>
        <w:rPr>
          <w:rFonts w:ascii="Times New Roman" w:hAnsi="Times New Roman" w:cs="Times New Roman"/>
        </w:rPr>
      </w:pPr>
    </w:p>
    <w:p w14:paraId="1A3D875A" w14:textId="646EFC26" w:rsidR="00854CA1" w:rsidRPr="002D3BA4" w:rsidRDefault="00854CA1" w:rsidP="002E0C1B">
      <w:pPr>
        <w:spacing w:before="120" w:after="120" w:line="240" w:lineRule="auto"/>
        <w:jc w:val="both"/>
        <w:rPr>
          <w:rFonts w:ascii="Times New Roman" w:hAnsi="Times New Roman" w:cs="Times New Roman"/>
          <w:b/>
          <w:bCs/>
        </w:rPr>
      </w:pPr>
      <w:r w:rsidRPr="002D3BA4">
        <w:rPr>
          <w:rFonts w:ascii="Times New Roman" w:hAnsi="Times New Roman" w:cs="Times New Roman"/>
          <w:b/>
          <w:bCs/>
        </w:rPr>
        <w:lastRenderedPageBreak/>
        <w:t>22. Aveți alte sugestii sau recomandări pentru îmbunătățirea sistemului de transport în Tulcea?</w:t>
      </w:r>
    </w:p>
    <w:p w14:paraId="3AA5B9A5" w14:textId="77777777" w:rsidR="002E0C1B" w:rsidRPr="002E0C1B" w:rsidRDefault="002E0C1B" w:rsidP="002E0C1B">
      <w:pPr>
        <w:spacing w:before="120" w:after="120" w:line="240" w:lineRule="auto"/>
        <w:jc w:val="both"/>
        <w:rPr>
          <w:rFonts w:ascii="Times New Roman" w:hAnsi="Times New Roman" w:cs="Times New Roman"/>
        </w:rPr>
      </w:pPr>
      <w:r w:rsidRPr="002E0C1B">
        <w:rPr>
          <w:rFonts w:ascii="Times New Roman" w:hAnsi="Times New Roman" w:cs="Times New Roman"/>
        </w:rPr>
        <w:t xml:space="preserve">Sugestiile se concentrează pe </w:t>
      </w:r>
      <w:r w:rsidRPr="002E0C1B">
        <w:rPr>
          <w:rFonts w:ascii="Times New Roman" w:hAnsi="Times New Roman" w:cs="Times New Roman"/>
          <w:b/>
          <w:bCs/>
        </w:rPr>
        <w:t>infrastructură intermodală și logistică</w:t>
      </w:r>
      <w:r w:rsidRPr="002E0C1B">
        <w:rPr>
          <w:rFonts w:ascii="Times New Roman" w:hAnsi="Times New Roman" w:cs="Times New Roman"/>
        </w:rPr>
        <w:t xml:space="preserve">: dezvoltarea unui </w:t>
      </w:r>
      <w:r w:rsidRPr="002E0C1B">
        <w:rPr>
          <w:rFonts w:ascii="Times New Roman" w:hAnsi="Times New Roman" w:cs="Times New Roman"/>
          <w:b/>
          <w:bCs/>
        </w:rPr>
        <w:t>hub logistic la Isaccea</w:t>
      </w:r>
      <w:r w:rsidRPr="002E0C1B">
        <w:rPr>
          <w:rFonts w:ascii="Times New Roman" w:hAnsi="Times New Roman" w:cs="Times New Roman"/>
        </w:rPr>
        <w:t xml:space="preserve">, a unui </w:t>
      </w:r>
      <w:r w:rsidRPr="002E0C1B">
        <w:rPr>
          <w:rFonts w:ascii="Times New Roman" w:hAnsi="Times New Roman" w:cs="Times New Roman"/>
          <w:b/>
          <w:bCs/>
        </w:rPr>
        <w:t>hub intermodal în zona Portului Industrial Tulcea</w:t>
      </w:r>
      <w:r w:rsidRPr="002E0C1B">
        <w:rPr>
          <w:rFonts w:ascii="Times New Roman" w:hAnsi="Times New Roman" w:cs="Times New Roman"/>
        </w:rPr>
        <w:t xml:space="preserve">, a unei </w:t>
      </w:r>
      <w:r w:rsidRPr="002E0C1B">
        <w:rPr>
          <w:rFonts w:ascii="Times New Roman" w:hAnsi="Times New Roman" w:cs="Times New Roman"/>
          <w:b/>
          <w:bCs/>
        </w:rPr>
        <w:t>zone libere pentru transbordare la Sulina</w:t>
      </w:r>
      <w:r w:rsidRPr="002E0C1B">
        <w:rPr>
          <w:rFonts w:ascii="Times New Roman" w:hAnsi="Times New Roman" w:cs="Times New Roman"/>
        </w:rPr>
        <w:t xml:space="preserve">, respectiv </w:t>
      </w:r>
      <w:r w:rsidRPr="002E0C1B">
        <w:rPr>
          <w:rFonts w:ascii="Times New Roman" w:hAnsi="Times New Roman" w:cs="Times New Roman"/>
          <w:b/>
          <w:bCs/>
        </w:rPr>
        <w:t>operaționalizarea cargo pe Aeroportul Tulcea</w:t>
      </w:r>
      <w:r w:rsidRPr="002E0C1B">
        <w:rPr>
          <w:rFonts w:ascii="Times New Roman" w:hAnsi="Times New Roman" w:cs="Times New Roman"/>
        </w:rPr>
        <w:t xml:space="preserve">; totodată este invocată </w:t>
      </w:r>
      <w:r w:rsidRPr="002E0C1B">
        <w:rPr>
          <w:rFonts w:ascii="Times New Roman" w:hAnsi="Times New Roman" w:cs="Times New Roman"/>
          <w:b/>
          <w:bCs/>
        </w:rPr>
        <w:t>crearea unui cadru logistic integrat port–drum–aeroport</w:t>
      </w:r>
      <w:r w:rsidRPr="002E0C1B">
        <w:rPr>
          <w:rFonts w:ascii="Times New Roman" w:hAnsi="Times New Roman" w:cs="Times New Roman"/>
        </w:rPr>
        <w:t xml:space="preserve"> pentru valorificarea resurselor locale.</w:t>
      </w:r>
    </w:p>
    <w:p w14:paraId="02CFBFDE" w14:textId="77777777" w:rsidR="002E0C1B" w:rsidRPr="002E0C1B" w:rsidRDefault="002E0C1B" w:rsidP="002E0C1B">
      <w:pPr>
        <w:spacing w:before="120" w:after="120" w:line="240" w:lineRule="auto"/>
        <w:jc w:val="both"/>
        <w:rPr>
          <w:rFonts w:ascii="Times New Roman" w:hAnsi="Times New Roman" w:cs="Times New Roman"/>
        </w:rPr>
      </w:pPr>
      <w:r w:rsidRPr="002E0C1B">
        <w:rPr>
          <w:rFonts w:ascii="Times New Roman" w:hAnsi="Times New Roman" w:cs="Times New Roman"/>
        </w:rPr>
        <w:t xml:space="preserve">Pentru componenta navală și turistică sunt propuse </w:t>
      </w:r>
      <w:r w:rsidRPr="002E0C1B">
        <w:rPr>
          <w:rFonts w:ascii="Times New Roman" w:hAnsi="Times New Roman" w:cs="Times New Roman"/>
          <w:b/>
          <w:bCs/>
        </w:rPr>
        <w:t>nave hibride pentru pasageri și marfă</w:t>
      </w:r>
      <w:r w:rsidRPr="002E0C1B">
        <w:rPr>
          <w:rFonts w:ascii="Times New Roman" w:hAnsi="Times New Roman" w:cs="Times New Roman"/>
        </w:rPr>
        <w:t xml:space="preserve"> și </w:t>
      </w:r>
      <w:r w:rsidRPr="002E0C1B">
        <w:rPr>
          <w:rFonts w:ascii="Times New Roman" w:hAnsi="Times New Roman" w:cs="Times New Roman"/>
          <w:b/>
          <w:bCs/>
        </w:rPr>
        <w:t>rute turistice moderne (tip hop-on/hop-off)</w:t>
      </w:r>
      <w:r w:rsidRPr="002E0C1B">
        <w:rPr>
          <w:rFonts w:ascii="Times New Roman" w:hAnsi="Times New Roman" w:cs="Times New Roman"/>
        </w:rPr>
        <w:t xml:space="preserve">, alături de măsuri de protecție a mediului, precum </w:t>
      </w:r>
      <w:r w:rsidRPr="002E0C1B">
        <w:rPr>
          <w:rFonts w:ascii="Times New Roman" w:hAnsi="Times New Roman" w:cs="Times New Roman"/>
          <w:b/>
          <w:bCs/>
        </w:rPr>
        <w:t>limitarea motoarelor puternice în rezervație</w:t>
      </w:r>
      <w:r w:rsidRPr="002E0C1B">
        <w:rPr>
          <w:rFonts w:ascii="Times New Roman" w:hAnsi="Times New Roman" w:cs="Times New Roman"/>
        </w:rPr>
        <w:t>.</w:t>
      </w:r>
    </w:p>
    <w:p w14:paraId="770061B7" w14:textId="77777777" w:rsidR="002E0C1B" w:rsidRPr="002E0C1B" w:rsidRDefault="002E0C1B" w:rsidP="002E0C1B">
      <w:pPr>
        <w:spacing w:before="120" w:after="120" w:line="240" w:lineRule="auto"/>
        <w:jc w:val="both"/>
        <w:rPr>
          <w:rFonts w:ascii="Times New Roman" w:hAnsi="Times New Roman" w:cs="Times New Roman"/>
        </w:rPr>
      </w:pPr>
      <w:r w:rsidRPr="002E0C1B">
        <w:rPr>
          <w:rFonts w:ascii="Times New Roman" w:hAnsi="Times New Roman" w:cs="Times New Roman"/>
        </w:rPr>
        <w:t xml:space="preserve">În sfera mobilității urbane din municipiul Tulcea apar cereri pentru </w:t>
      </w:r>
      <w:r w:rsidRPr="002E0C1B">
        <w:rPr>
          <w:rFonts w:ascii="Times New Roman" w:hAnsi="Times New Roman" w:cs="Times New Roman"/>
          <w:b/>
          <w:bCs/>
        </w:rPr>
        <w:t>reducerea accesului cu autoturismele personale</w:t>
      </w:r>
      <w:r w:rsidRPr="002E0C1B">
        <w:rPr>
          <w:rFonts w:ascii="Times New Roman" w:hAnsi="Times New Roman" w:cs="Times New Roman"/>
        </w:rPr>
        <w:t xml:space="preserve">, </w:t>
      </w:r>
      <w:r w:rsidRPr="002E0C1B">
        <w:rPr>
          <w:rFonts w:ascii="Times New Roman" w:hAnsi="Times New Roman" w:cs="Times New Roman"/>
          <w:b/>
          <w:bCs/>
        </w:rPr>
        <w:t>îmbunătățirea transportului public</w:t>
      </w:r>
      <w:r w:rsidRPr="002E0C1B">
        <w:rPr>
          <w:rFonts w:ascii="Times New Roman" w:hAnsi="Times New Roman" w:cs="Times New Roman"/>
        </w:rPr>
        <w:t xml:space="preserve"> și </w:t>
      </w:r>
      <w:r w:rsidRPr="002E0C1B">
        <w:rPr>
          <w:rFonts w:ascii="Times New Roman" w:hAnsi="Times New Roman" w:cs="Times New Roman"/>
          <w:b/>
          <w:bCs/>
        </w:rPr>
        <w:t>amenajarea de piste pentru biciclete</w:t>
      </w:r>
      <w:r w:rsidRPr="002E0C1B">
        <w:rPr>
          <w:rFonts w:ascii="Times New Roman" w:hAnsi="Times New Roman" w:cs="Times New Roman"/>
        </w:rPr>
        <w:t>.</w:t>
      </w:r>
    </w:p>
    <w:p w14:paraId="64B1A0EB" w14:textId="77777777" w:rsidR="002E0C1B" w:rsidRPr="002E0C1B" w:rsidRDefault="002E0C1B" w:rsidP="002E0C1B">
      <w:pPr>
        <w:spacing w:before="120" w:after="120" w:line="240" w:lineRule="auto"/>
        <w:jc w:val="both"/>
        <w:rPr>
          <w:rFonts w:ascii="Times New Roman" w:hAnsi="Times New Roman" w:cs="Times New Roman"/>
        </w:rPr>
      </w:pPr>
      <w:r w:rsidRPr="002E0C1B">
        <w:rPr>
          <w:rFonts w:ascii="Times New Roman" w:hAnsi="Times New Roman" w:cs="Times New Roman"/>
        </w:rPr>
        <w:t xml:space="preserve">Pe rutier, se menționează explicit </w:t>
      </w:r>
      <w:r w:rsidRPr="002E0C1B">
        <w:rPr>
          <w:rFonts w:ascii="Times New Roman" w:hAnsi="Times New Roman" w:cs="Times New Roman"/>
          <w:b/>
          <w:bCs/>
        </w:rPr>
        <w:t>Drumul expres Tulcea–Constanța</w:t>
      </w:r>
      <w:r w:rsidRPr="002E0C1B">
        <w:rPr>
          <w:rFonts w:ascii="Times New Roman" w:hAnsi="Times New Roman" w:cs="Times New Roman"/>
        </w:rPr>
        <w:t xml:space="preserve"> ca direcție de proiect prioritară.</w:t>
      </w:r>
    </w:p>
    <w:p w14:paraId="0D773675" w14:textId="24C5E86D" w:rsidR="002E0C1B" w:rsidRPr="002E0C1B" w:rsidRDefault="002E0C1B" w:rsidP="002E0C1B">
      <w:pPr>
        <w:spacing w:before="120" w:after="120" w:line="240" w:lineRule="auto"/>
        <w:jc w:val="both"/>
        <w:rPr>
          <w:rFonts w:ascii="Times New Roman" w:hAnsi="Times New Roman" w:cs="Times New Roman"/>
        </w:rPr>
      </w:pPr>
      <w:r w:rsidRPr="002E0C1B">
        <w:rPr>
          <w:rFonts w:ascii="Times New Roman" w:hAnsi="Times New Roman" w:cs="Times New Roman"/>
        </w:rPr>
        <w:t xml:space="preserve">La nivel instituțional, răspunsurile solicită </w:t>
      </w:r>
      <w:r w:rsidRPr="002E0C1B">
        <w:rPr>
          <w:rFonts w:ascii="Times New Roman" w:hAnsi="Times New Roman" w:cs="Times New Roman"/>
          <w:b/>
          <w:bCs/>
        </w:rPr>
        <w:t>implicarea specialiștilor și a institutelor de cercetare</w:t>
      </w:r>
      <w:r w:rsidRPr="002E0C1B">
        <w:rPr>
          <w:rFonts w:ascii="Times New Roman" w:hAnsi="Times New Roman" w:cs="Times New Roman"/>
        </w:rPr>
        <w:t xml:space="preserve">, </w:t>
      </w:r>
      <w:r w:rsidRPr="002E0C1B">
        <w:rPr>
          <w:rFonts w:ascii="Times New Roman" w:hAnsi="Times New Roman" w:cs="Times New Roman"/>
          <w:b/>
          <w:bCs/>
        </w:rPr>
        <w:t>coordonare interinstituțională reală</w:t>
      </w:r>
      <w:r w:rsidRPr="002E0C1B">
        <w:rPr>
          <w:rFonts w:ascii="Times New Roman" w:hAnsi="Times New Roman" w:cs="Times New Roman"/>
        </w:rPr>
        <w:t xml:space="preserve"> și </w:t>
      </w:r>
      <w:r w:rsidRPr="002E0C1B">
        <w:rPr>
          <w:rFonts w:ascii="Times New Roman" w:hAnsi="Times New Roman" w:cs="Times New Roman"/>
          <w:b/>
          <w:bCs/>
        </w:rPr>
        <w:t>accesarea/folosirea eficientă a fondurilor europene</w:t>
      </w:r>
      <w:r w:rsidRPr="002E0C1B">
        <w:rPr>
          <w:rFonts w:ascii="Times New Roman" w:hAnsi="Times New Roman" w:cs="Times New Roman"/>
        </w:rPr>
        <w:t xml:space="preserve">. </w:t>
      </w:r>
    </w:p>
    <w:p w14:paraId="55C98A8B" w14:textId="1E56E3D8" w:rsidR="00854CA1" w:rsidRPr="007D3D4F" w:rsidRDefault="00854CA1" w:rsidP="00D24794">
      <w:pPr>
        <w:jc w:val="both"/>
        <w:rPr>
          <w:rFonts w:ascii="Times New Roman" w:hAnsi="Times New Roman" w:cs="Times New Roman"/>
        </w:rPr>
        <w:sectPr w:rsidR="00854CA1" w:rsidRPr="007D3D4F" w:rsidSect="00C91C40">
          <w:footerReference w:type="default" r:id="rId41"/>
          <w:pgSz w:w="12240" w:h="15840"/>
          <w:pgMar w:top="1440" w:right="1440" w:bottom="1440" w:left="1440" w:header="720" w:footer="720" w:gutter="0"/>
          <w:cols w:space="720"/>
          <w:docGrid w:linePitch="360"/>
        </w:sectPr>
      </w:pPr>
    </w:p>
    <w:p w14:paraId="73C05C31" w14:textId="5A638355" w:rsidR="00374462" w:rsidRPr="007D3D4F" w:rsidRDefault="00374462" w:rsidP="00374462">
      <w:pPr>
        <w:pStyle w:val="Smn"/>
        <w:contextualSpacing/>
        <w:jc w:val="center"/>
        <w:rPr>
          <w:rFonts w:ascii="Times New Roman" w:hAnsi="Times New Roman" w:cs="Times New Roman"/>
          <w:b/>
          <w:bCs/>
          <w:color w:val="auto"/>
          <w:sz w:val="36"/>
          <w:szCs w:val="36"/>
        </w:rPr>
      </w:pPr>
      <w:r w:rsidRPr="007D3D4F">
        <w:rPr>
          <w:rFonts w:ascii="Times New Roman" w:hAnsi="Times New Roman" w:cs="Times New Roman"/>
          <w:b/>
          <w:bCs/>
          <w:color w:val="auto"/>
          <w:sz w:val="36"/>
          <w:szCs w:val="36"/>
        </w:rPr>
        <w:lastRenderedPageBreak/>
        <w:t>ANEXA 4</w:t>
      </w:r>
    </w:p>
    <w:p w14:paraId="3AF2A770" w14:textId="62D58D51" w:rsidR="00C96F77" w:rsidRPr="007D3D4F" w:rsidRDefault="00374462" w:rsidP="00374462">
      <w:pPr>
        <w:pStyle w:val="Smn"/>
        <w:contextualSpacing/>
        <w:jc w:val="center"/>
        <w:rPr>
          <w:rFonts w:ascii="Times New Roman" w:hAnsi="Times New Roman" w:cs="Times New Roman"/>
          <w:b/>
          <w:bCs/>
          <w:color w:val="auto"/>
          <w:sz w:val="36"/>
          <w:szCs w:val="36"/>
        </w:rPr>
      </w:pPr>
      <w:r w:rsidRPr="007D3D4F">
        <w:rPr>
          <w:rFonts w:ascii="Times New Roman" w:hAnsi="Times New Roman" w:cs="Times New Roman"/>
          <w:b/>
          <w:bCs/>
          <w:color w:val="auto"/>
          <w:sz w:val="36"/>
          <w:szCs w:val="36"/>
        </w:rPr>
        <w:t>PORTOFOLIUL EXTINS DE PROIECTE</w:t>
      </w:r>
    </w:p>
    <w:p w14:paraId="3C9AC458" w14:textId="77777777" w:rsidR="00374462" w:rsidRPr="007D3D4F" w:rsidRDefault="00374462" w:rsidP="00374462">
      <w:pPr>
        <w:pStyle w:val="Smn"/>
        <w:contextualSpacing/>
        <w:rPr>
          <w:rFonts w:ascii="Times New Roman" w:hAnsi="Times New Roman" w:cs="Times New Roman"/>
          <w:b/>
          <w:bCs/>
          <w:color w:val="auto"/>
          <w:sz w:val="36"/>
          <w:szCs w:val="36"/>
        </w:rPr>
      </w:pPr>
    </w:p>
    <w:p w14:paraId="43501B0B" w14:textId="33E6A0A9" w:rsidR="00374462" w:rsidRPr="007D3D4F" w:rsidRDefault="00374462" w:rsidP="00D81598">
      <w:pPr>
        <w:pStyle w:val="Smn"/>
        <w:numPr>
          <w:ilvl w:val="0"/>
          <w:numId w:val="28"/>
        </w:numPr>
        <w:contextualSpacing/>
        <w:rPr>
          <w:rFonts w:ascii="Times New Roman" w:hAnsi="Times New Roman" w:cs="Times New Roman"/>
          <w:i/>
          <w:iCs/>
          <w:sz w:val="22"/>
          <w:szCs w:val="22"/>
        </w:rPr>
      </w:pPr>
      <w:r w:rsidRPr="007D3D4F">
        <w:rPr>
          <w:rFonts w:ascii="Times New Roman" w:hAnsi="Times New Roman" w:cs="Times New Roman"/>
          <w:i/>
          <w:iCs/>
          <w:color w:val="auto"/>
          <w:sz w:val="22"/>
          <w:szCs w:val="22"/>
        </w:rPr>
        <w:t xml:space="preserve">Capitolul 11, </w:t>
      </w:r>
      <w:bookmarkStart w:id="13" w:name="_Toc205548789"/>
      <w:r w:rsidRPr="007D3D4F">
        <w:rPr>
          <w:rFonts w:ascii="Times New Roman" w:hAnsi="Times New Roman" w:cs="Times New Roman"/>
          <w:i/>
          <w:iCs/>
          <w:color w:val="auto"/>
          <w:sz w:val="22"/>
          <w:szCs w:val="22"/>
        </w:rPr>
        <w:t>Plan de acțiune și calendar de implementare</w:t>
      </w:r>
      <w:bookmarkEnd w:id="13"/>
      <w:r w:rsidRPr="007D3D4F">
        <w:rPr>
          <w:rFonts w:ascii="Times New Roman" w:hAnsi="Times New Roman" w:cs="Times New Roman"/>
          <w:i/>
          <w:iCs/>
          <w:color w:val="auto"/>
          <w:sz w:val="22"/>
          <w:szCs w:val="22"/>
        </w:rPr>
        <w:t>, subcapitolul Alte proiecte de dezvoltare</w:t>
      </w:r>
    </w:p>
    <w:p w14:paraId="12D3234F" w14:textId="77777777" w:rsidR="00C91C40" w:rsidRPr="007D3D4F" w:rsidRDefault="00C91C40" w:rsidP="004C072F">
      <w:pPr>
        <w:pStyle w:val="Smn"/>
        <w:contextualSpacing/>
        <w:rPr>
          <w:rFonts w:ascii="Times New Roman" w:hAnsi="Times New Roman" w:cs="Times New Roman"/>
          <w:sz w:val="22"/>
          <w:szCs w:val="22"/>
        </w:rPr>
      </w:pPr>
    </w:p>
    <w:tbl>
      <w:tblPr>
        <w:tblStyle w:val="Tabelgril"/>
        <w:tblW w:w="5000" w:type="pct"/>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7E6E6" w:themeFill="background2"/>
        <w:tblLook w:val="04A0" w:firstRow="1" w:lastRow="0" w:firstColumn="1" w:lastColumn="0" w:noHBand="0" w:noVBand="1"/>
      </w:tblPr>
      <w:tblGrid>
        <w:gridCol w:w="511"/>
        <w:gridCol w:w="3176"/>
        <w:gridCol w:w="1615"/>
        <w:gridCol w:w="7642"/>
      </w:tblGrid>
      <w:tr w:rsidR="00C91C40" w:rsidRPr="007D3D4F" w14:paraId="68EEECB5" w14:textId="77777777" w:rsidTr="00E86ADB">
        <w:trPr>
          <w:tblHeader/>
          <w:jc w:val="center"/>
        </w:trPr>
        <w:tc>
          <w:tcPr>
            <w:tcW w:w="0" w:type="auto"/>
            <w:shd w:val="clear" w:color="auto" w:fill="3B3838" w:themeFill="background2" w:themeFillShade="40"/>
            <w:vAlign w:val="center"/>
          </w:tcPr>
          <w:p w14:paraId="48FE4273" w14:textId="77777777" w:rsidR="00C91C40" w:rsidRPr="007D3D4F" w:rsidRDefault="00C91C40" w:rsidP="00374462">
            <w:pPr>
              <w:pStyle w:val="Smn"/>
              <w:spacing w:before="0" w:after="0"/>
              <w:contextualSpacing/>
              <w:jc w:val="center"/>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Nr. crt.</w:t>
            </w:r>
          </w:p>
        </w:tc>
        <w:tc>
          <w:tcPr>
            <w:tcW w:w="1227" w:type="pct"/>
            <w:shd w:val="clear" w:color="auto" w:fill="3B3838" w:themeFill="background2" w:themeFillShade="40"/>
            <w:vAlign w:val="center"/>
          </w:tcPr>
          <w:p w14:paraId="5D480AD2" w14:textId="77777777" w:rsidR="00C91C40" w:rsidRPr="007D3D4F" w:rsidRDefault="00C91C40" w:rsidP="00374462">
            <w:pPr>
              <w:pStyle w:val="Smn"/>
              <w:spacing w:before="0" w:after="0"/>
              <w:contextualSpacing/>
              <w:jc w:val="center"/>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Denumire</w:t>
            </w:r>
          </w:p>
        </w:tc>
        <w:tc>
          <w:tcPr>
            <w:tcW w:w="624" w:type="pct"/>
            <w:shd w:val="clear" w:color="auto" w:fill="3B3838" w:themeFill="background2" w:themeFillShade="40"/>
            <w:vAlign w:val="center"/>
          </w:tcPr>
          <w:p w14:paraId="2FD3FA59" w14:textId="77777777" w:rsidR="00C91C40" w:rsidRPr="007D3D4F" w:rsidRDefault="00C91C40" w:rsidP="00374462">
            <w:pPr>
              <w:pStyle w:val="Smn"/>
              <w:spacing w:before="0" w:after="0"/>
              <w:contextualSpacing/>
              <w:jc w:val="center"/>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Beneficiar</w:t>
            </w:r>
          </w:p>
        </w:tc>
        <w:tc>
          <w:tcPr>
            <w:tcW w:w="2952" w:type="pct"/>
            <w:shd w:val="clear" w:color="auto" w:fill="3B3838" w:themeFill="background2" w:themeFillShade="40"/>
            <w:vAlign w:val="center"/>
          </w:tcPr>
          <w:p w14:paraId="7237FCEC" w14:textId="77777777" w:rsidR="00C91C40" w:rsidRPr="007D3D4F" w:rsidRDefault="00C91C40" w:rsidP="00374462">
            <w:pPr>
              <w:pStyle w:val="Smn"/>
              <w:spacing w:before="0" w:after="0"/>
              <w:contextualSpacing/>
              <w:jc w:val="center"/>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Corelarea proiectelor cu documentele strategice și justificarea necesității investiției</w:t>
            </w:r>
          </w:p>
        </w:tc>
      </w:tr>
      <w:tr w:rsidR="00C91C40" w:rsidRPr="007D3D4F" w14:paraId="70FE6C3F" w14:textId="77777777" w:rsidTr="00E86ADB">
        <w:trPr>
          <w:jc w:val="center"/>
        </w:trPr>
        <w:tc>
          <w:tcPr>
            <w:tcW w:w="0" w:type="auto"/>
            <w:shd w:val="clear" w:color="auto" w:fill="E7E6E6" w:themeFill="background2"/>
            <w:vAlign w:val="center"/>
          </w:tcPr>
          <w:p w14:paraId="30FBC913"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465DB844" w14:textId="1F2CE93C"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Nav</w:t>
            </w:r>
            <w:r w:rsidR="00E86ADB">
              <w:rPr>
                <w:rFonts w:ascii="Times New Roman" w:hAnsi="Times New Roman" w:cs="Times New Roman"/>
                <w:color w:val="auto"/>
                <w:sz w:val="20"/>
                <w:szCs w:val="20"/>
              </w:rPr>
              <w:t>e</w:t>
            </w:r>
            <w:r w:rsidRPr="007D3D4F">
              <w:rPr>
                <w:rFonts w:ascii="Times New Roman" w:hAnsi="Times New Roman" w:cs="Times New Roman"/>
                <w:color w:val="auto"/>
                <w:sz w:val="20"/>
                <w:szCs w:val="20"/>
              </w:rPr>
              <w:t xml:space="preserve"> clasic</w:t>
            </w:r>
            <w:r w:rsidR="00E86ADB">
              <w:rPr>
                <w:rFonts w:ascii="Times New Roman" w:hAnsi="Times New Roman" w:cs="Times New Roman"/>
                <w:color w:val="auto"/>
                <w:sz w:val="20"/>
                <w:szCs w:val="20"/>
              </w:rPr>
              <w:t>e</w:t>
            </w:r>
            <w:r w:rsidRPr="007D3D4F">
              <w:rPr>
                <w:rFonts w:ascii="Times New Roman" w:hAnsi="Times New Roman" w:cs="Times New Roman"/>
                <w:color w:val="auto"/>
                <w:sz w:val="20"/>
                <w:szCs w:val="20"/>
              </w:rPr>
              <w:t xml:space="preserve"> de transport pasageri </w:t>
            </w:r>
          </w:p>
        </w:tc>
        <w:tc>
          <w:tcPr>
            <w:tcW w:w="624" w:type="pct"/>
            <w:shd w:val="clear" w:color="auto" w:fill="E7E6E6" w:themeFill="background2"/>
            <w:vAlign w:val="center"/>
          </w:tcPr>
          <w:p w14:paraId="27E0D670" w14:textId="77777777" w:rsidR="00E86ADB" w:rsidRDefault="00E86ADB" w:rsidP="00374462">
            <w:pPr>
              <w:pStyle w:val="Smn"/>
              <w:spacing w:before="0" w:after="0"/>
              <w:contextualSpacing/>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Conform studiilor </w:t>
            </w:r>
            <w:r w:rsidR="00FC505E" w:rsidRPr="00FC505E">
              <w:rPr>
                <w:rFonts w:ascii="Times New Roman" w:hAnsi="Times New Roman" w:cs="Times New Roman"/>
                <w:color w:val="auto"/>
                <w:sz w:val="20"/>
                <w:szCs w:val="20"/>
              </w:rPr>
              <w:t> </w:t>
            </w:r>
          </w:p>
          <w:p w14:paraId="1472E4CB" w14:textId="778F4DDE" w:rsidR="00C91C40" w:rsidRPr="007D3D4F" w:rsidRDefault="00FC505E" w:rsidP="00374462">
            <w:pPr>
              <w:pStyle w:val="Smn"/>
              <w:spacing w:before="0" w:after="0"/>
              <w:contextualSpacing/>
              <w:jc w:val="center"/>
              <w:rPr>
                <w:rFonts w:ascii="Times New Roman" w:hAnsi="Times New Roman" w:cs="Times New Roman"/>
                <w:color w:val="auto"/>
                <w:sz w:val="20"/>
                <w:szCs w:val="20"/>
              </w:rPr>
            </w:pPr>
            <w:r w:rsidRPr="00FC505E">
              <w:rPr>
                <w:rFonts w:ascii="Times New Roman" w:hAnsi="Times New Roman" w:cs="Times New Roman"/>
                <w:color w:val="auto"/>
                <w:sz w:val="20"/>
                <w:szCs w:val="20"/>
              </w:rPr>
              <w:t>Ministerul</w:t>
            </w:r>
            <w:r w:rsidR="00E86ADB">
              <w:rPr>
                <w:rFonts w:ascii="Times New Roman" w:hAnsi="Times New Roman" w:cs="Times New Roman"/>
                <w:color w:val="auto"/>
                <w:sz w:val="20"/>
                <w:szCs w:val="20"/>
              </w:rPr>
              <w:t xml:space="preserve">ui </w:t>
            </w:r>
            <w:r w:rsidRPr="00FC505E">
              <w:rPr>
                <w:rFonts w:ascii="Times New Roman" w:hAnsi="Times New Roman" w:cs="Times New Roman"/>
                <w:color w:val="auto"/>
                <w:sz w:val="20"/>
                <w:szCs w:val="20"/>
              </w:rPr>
              <w:t>Transporturilor și Infrastructurii</w:t>
            </w:r>
          </w:p>
        </w:tc>
        <w:tc>
          <w:tcPr>
            <w:tcW w:w="2952" w:type="pct"/>
            <w:shd w:val="clear" w:color="auto" w:fill="E7E6E6" w:themeFill="background2"/>
            <w:vAlign w:val="center"/>
          </w:tcPr>
          <w:p w14:paraId="16BFFC4A"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5E3E73BB"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6B42FB75" w14:textId="77777777" w:rsidR="00C91C40"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Răspunde necesității de a asigura transport pentru volume mari de pasageri pe rutele principale, precum Tulcea–Sulina sau Tulcea–Sf. Gheorghe, unde modelele de mobilitate indică valori maxime de flux. Asigură eficiență operațională și sustenabilitate prin reducerea numărului de curse necesare.</w:t>
            </w:r>
          </w:p>
          <w:p w14:paraId="1CEAA667" w14:textId="0FB3A067" w:rsidR="00E86ADB" w:rsidRPr="007D3D4F" w:rsidRDefault="00E86ADB" w:rsidP="00E86ADB">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 xml:space="preserve">Achizție conform studiilor </w:t>
            </w:r>
            <w:r w:rsidRPr="00FC505E">
              <w:rPr>
                <w:rFonts w:ascii="Times New Roman" w:hAnsi="Times New Roman" w:cs="Times New Roman"/>
                <w:color w:val="auto"/>
                <w:sz w:val="20"/>
                <w:szCs w:val="20"/>
              </w:rPr>
              <w:t> </w:t>
            </w:r>
            <w:r>
              <w:rPr>
                <w:rFonts w:ascii="Times New Roman" w:hAnsi="Times New Roman" w:cs="Times New Roman"/>
                <w:color w:val="auto"/>
                <w:sz w:val="20"/>
                <w:szCs w:val="20"/>
              </w:rPr>
              <w:t xml:space="preserve"> </w:t>
            </w:r>
            <w:r w:rsidRPr="00FC505E">
              <w:rPr>
                <w:rFonts w:ascii="Times New Roman" w:hAnsi="Times New Roman" w:cs="Times New Roman"/>
                <w:color w:val="auto"/>
                <w:sz w:val="20"/>
                <w:szCs w:val="20"/>
              </w:rPr>
              <w:t>Ministerul</w:t>
            </w:r>
            <w:r>
              <w:rPr>
                <w:rFonts w:ascii="Times New Roman" w:hAnsi="Times New Roman" w:cs="Times New Roman"/>
                <w:color w:val="auto"/>
                <w:sz w:val="20"/>
                <w:szCs w:val="20"/>
              </w:rPr>
              <w:t xml:space="preserve">ui </w:t>
            </w:r>
            <w:r w:rsidRPr="00FC505E">
              <w:rPr>
                <w:rFonts w:ascii="Times New Roman" w:hAnsi="Times New Roman" w:cs="Times New Roman"/>
                <w:color w:val="auto"/>
                <w:sz w:val="20"/>
                <w:szCs w:val="20"/>
              </w:rPr>
              <w:t>Transporturilor și Infrastructurii</w:t>
            </w:r>
          </w:p>
        </w:tc>
      </w:tr>
      <w:tr w:rsidR="00C91C40" w:rsidRPr="007D3D4F" w14:paraId="7D1C58B2" w14:textId="77777777" w:rsidTr="00E86ADB">
        <w:trPr>
          <w:jc w:val="center"/>
        </w:trPr>
        <w:tc>
          <w:tcPr>
            <w:tcW w:w="0" w:type="auto"/>
            <w:shd w:val="clear" w:color="auto" w:fill="E7E6E6" w:themeFill="background2"/>
            <w:vAlign w:val="center"/>
          </w:tcPr>
          <w:p w14:paraId="0DE5CBAA"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43C2E81D"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Ponton de acostare pentru navele de pasageri 30 ml x 8 ml faza I – 16 buc.</w:t>
            </w:r>
          </w:p>
        </w:tc>
        <w:tc>
          <w:tcPr>
            <w:tcW w:w="624" w:type="pct"/>
            <w:shd w:val="clear" w:color="auto" w:fill="E7E6E6" w:themeFill="background2"/>
            <w:vAlign w:val="center"/>
          </w:tcPr>
          <w:p w14:paraId="541D6232" w14:textId="77777777" w:rsidR="00145EC0" w:rsidRDefault="00145EC0" w:rsidP="00145EC0">
            <w:pPr>
              <w:pStyle w:val="Smn"/>
              <w:spacing w:before="0" w:after="0"/>
              <w:contextualSpacing/>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Conform studiilor </w:t>
            </w:r>
            <w:r w:rsidRPr="00FC505E">
              <w:rPr>
                <w:rFonts w:ascii="Times New Roman" w:hAnsi="Times New Roman" w:cs="Times New Roman"/>
                <w:color w:val="auto"/>
                <w:sz w:val="20"/>
                <w:szCs w:val="20"/>
              </w:rPr>
              <w:t> </w:t>
            </w:r>
          </w:p>
          <w:p w14:paraId="274F7295" w14:textId="064D00D8" w:rsidR="00C91C40" w:rsidRPr="007D3D4F" w:rsidRDefault="00145EC0" w:rsidP="00145EC0">
            <w:pPr>
              <w:pStyle w:val="Smn"/>
              <w:spacing w:before="0" w:after="0"/>
              <w:contextualSpacing/>
              <w:jc w:val="center"/>
              <w:rPr>
                <w:rFonts w:ascii="Times New Roman" w:hAnsi="Times New Roman" w:cs="Times New Roman"/>
                <w:color w:val="auto"/>
                <w:sz w:val="20"/>
                <w:szCs w:val="20"/>
              </w:rPr>
            </w:pPr>
            <w:r w:rsidRPr="00FC505E">
              <w:rPr>
                <w:rFonts w:ascii="Times New Roman" w:hAnsi="Times New Roman" w:cs="Times New Roman"/>
                <w:color w:val="auto"/>
                <w:sz w:val="20"/>
                <w:szCs w:val="20"/>
              </w:rPr>
              <w:t>Ministerul</w:t>
            </w:r>
            <w:r>
              <w:rPr>
                <w:rFonts w:ascii="Times New Roman" w:hAnsi="Times New Roman" w:cs="Times New Roman"/>
                <w:color w:val="auto"/>
                <w:sz w:val="20"/>
                <w:szCs w:val="20"/>
              </w:rPr>
              <w:t xml:space="preserve">ui </w:t>
            </w:r>
            <w:r w:rsidRPr="00FC505E">
              <w:rPr>
                <w:rFonts w:ascii="Times New Roman" w:hAnsi="Times New Roman" w:cs="Times New Roman"/>
                <w:color w:val="auto"/>
                <w:sz w:val="20"/>
                <w:szCs w:val="20"/>
              </w:rPr>
              <w:t>Transporturilor și Infrastructurii</w:t>
            </w:r>
          </w:p>
        </w:tc>
        <w:tc>
          <w:tcPr>
            <w:tcW w:w="2952" w:type="pct"/>
            <w:shd w:val="clear" w:color="auto" w:fill="E7E6E6" w:themeFill="background2"/>
            <w:vAlign w:val="center"/>
          </w:tcPr>
          <w:p w14:paraId="2DEB9400"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41997D9F"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38750A63"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Infrastructură critică pentru operarea în siguranță a navelor de pasageri în localitățile prioritare identificate prin analiza de accesibilitate. Include noduri precum Sulina, Sf. Gheorghe, Chilia, Maliuc, etc.</w:t>
            </w:r>
          </w:p>
        </w:tc>
      </w:tr>
      <w:tr w:rsidR="00C91C40" w:rsidRPr="007D3D4F" w14:paraId="49F0201E" w14:textId="77777777" w:rsidTr="00E86ADB">
        <w:trPr>
          <w:jc w:val="center"/>
        </w:trPr>
        <w:tc>
          <w:tcPr>
            <w:tcW w:w="0" w:type="auto"/>
            <w:shd w:val="clear" w:color="auto" w:fill="E7E6E6" w:themeFill="background2"/>
            <w:vAlign w:val="center"/>
          </w:tcPr>
          <w:p w14:paraId="4383919C"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2975EBB5"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Ponton de acostare pentru navele de pasageri 30 ml x 8 ml faza I – 3 buc.</w:t>
            </w:r>
          </w:p>
        </w:tc>
        <w:tc>
          <w:tcPr>
            <w:tcW w:w="624" w:type="pct"/>
            <w:shd w:val="clear" w:color="auto" w:fill="E7E6E6" w:themeFill="background2"/>
            <w:vAlign w:val="center"/>
          </w:tcPr>
          <w:p w14:paraId="751E3302" w14:textId="77777777" w:rsidR="00145EC0" w:rsidRDefault="00145EC0" w:rsidP="00145EC0">
            <w:pPr>
              <w:pStyle w:val="Smn"/>
              <w:spacing w:before="0" w:after="0"/>
              <w:contextualSpacing/>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Conform studiilor </w:t>
            </w:r>
            <w:r w:rsidRPr="00FC505E">
              <w:rPr>
                <w:rFonts w:ascii="Times New Roman" w:hAnsi="Times New Roman" w:cs="Times New Roman"/>
                <w:color w:val="auto"/>
                <w:sz w:val="20"/>
                <w:szCs w:val="20"/>
              </w:rPr>
              <w:t> </w:t>
            </w:r>
          </w:p>
          <w:p w14:paraId="2BE05705" w14:textId="2297C5C5" w:rsidR="00C91C40" w:rsidRPr="007D3D4F" w:rsidRDefault="00145EC0" w:rsidP="00145EC0">
            <w:pPr>
              <w:pStyle w:val="Smn"/>
              <w:spacing w:before="0" w:after="0"/>
              <w:contextualSpacing/>
              <w:jc w:val="center"/>
              <w:rPr>
                <w:rFonts w:ascii="Times New Roman" w:hAnsi="Times New Roman" w:cs="Times New Roman"/>
                <w:color w:val="auto"/>
                <w:sz w:val="20"/>
                <w:szCs w:val="20"/>
              </w:rPr>
            </w:pPr>
            <w:r w:rsidRPr="00FC505E">
              <w:rPr>
                <w:rFonts w:ascii="Times New Roman" w:hAnsi="Times New Roman" w:cs="Times New Roman"/>
                <w:color w:val="auto"/>
                <w:sz w:val="20"/>
                <w:szCs w:val="20"/>
              </w:rPr>
              <w:t>Ministerul</w:t>
            </w:r>
            <w:r>
              <w:rPr>
                <w:rFonts w:ascii="Times New Roman" w:hAnsi="Times New Roman" w:cs="Times New Roman"/>
                <w:color w:val="auto"/>
                <w:sz w:val="20"/>
                <w:szCs w:val="20"/>
              </w:rPr>
              <w:t xml:space="preserve">ui </w:t>
            </w:r>
            <w:r w:rsidRPr="00FC505E">
              <w:rPr>
                <w:rFonts w:ascii="Times New Roman" w:hAnsi="Times New Roman" w:cs="Times New Roman"/>
                <w:color w:val="auto"/>
                <w:sz w:val="20"/>
                <w:szCs w:val="20"/>
              </w:rPr>
              <w:t>Transporturilor și Infrastructurii</w:t>
            </w:r>
          </w:p>
        </w:tc>
        <w:tc>
          <w:tcPr>
            <w:tcW w:w="2952" w:type="pct"/>
            <w:shd w:val="clear" w:color="auto" w:fill="E7E6E6" w:themeFill="background2"/>
            <w:vAlign w:val="center"/>
          </w:tcPr>
          <w:p w14:paraId="5877339B"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7003A483"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56CB224F"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Completare a rețelei inițiale cu puncte de acostare în zone cu importanță strategică locală (acces la servicii, turism sau conexiuni cu rutele principale), conform scenariului optim propus în plan.</w:t>
            </w:r>
          </w:p>
        </w:tc>
      </w:tr>
      <w:tr w:rsidR="00C91C40" w:rsidRPr="007D3D4F" w14:paraId="4E842A94" w14:textId="77777777" w:rsidTr="00E86ADB">
        <w:trPr>
          <w:jc w:val="center"/>
        </w:trPr>
        <w:tc>
          <w:tcPr>
            <w:tcW w:w="0" w:type="auto"/>
            <w:shd w:val="clear" w:color="auto" w:fill="E7E6E6" w:themeFill="background2"/>
            <w:vAlign w:val="center"/>
          </w:tcPr>
          <w:p w14:paraId="1C0CFC90"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3941D5BD"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Dezvoltarea unei infrastructuri de acostare pentru transportul public pe rețeaua clasică de transport (nave clasice de transport și nave rapide) – faza I (Sulina, Crișan, Mila 23, Caraorman, Gorgova, Maliuc, Partizani, Chilia, Periprava, Pardina, C.A. Rosetti, Plauru, Pătlăgeanca, </w:t>
            </w:r>
            <w:r w:rsidRPr="007D3D4F">
              <w:rPr>
                <w:rFonts w:ascii="Times New Roman" w:hAnsi="Times New Roman" w:cs="Times New Roman"/>
                <w:color w:val="auto"/>
                <w:sz w:val="20"/>
                <w:szCs w:val="20"/>
              </w:rPr>
              <w:lastRenderedPageBreak/>
              <w:t xml:space="preserve">Mahmudia, Băltenii de jos, Sf. Gheorghe) – </w:t>
            </w:r>
            <w:r w:rsidRPr="007D3D4F">
              <w:rPr>
                <w:rFonts w:ascii="Times New Roman" w:hAnsi="Times New Roman" w:cs="Times New Roman"/>
                <w:b/>
                <w:bCs/>
                <w:color w:val="auto"/>
                <w:sz w:val="20"/>
                <w:szCs w:val="20"/>
              </w:rPr>
              <w:t>16 locații</w:t>
            </w:r>
          </w:p>
        </w:tc>
        <w:tc>
          <w:tcPr>
            <w:tcW w:w="624" w:type="pct"/>
            <w:shd w:val="clear" w:color="auto" w:fill="E7E6E6" w:themeFill="background2"/>
            <w:vAlign w:val="center"/>
          </w:tcPr>
          <w:p w14:paraId="711C3B25" w14:textId="77777777" w:rsidR="00145EC0" w:rsidRDefault="00145EC0" w:rsidP="00145EC0">
            <w:pPr>
              <w:pStyle w:val="Smn"/>
              <w:spacing w:before="0" w:after="0"/>
              <w:contextualSpacing/>
              <w:jc w:val="center"/>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Conform studiilor </w:t>
            </w:r>
            <w:r w:rsidRPr="00FC505E">
              <w:rPr>
                <w:rFonts w:ascii="Times New Roman" w:hAnsi="Times New Roman" w:cs="Times New Roman"/>
                <w:color w:val="auto"/>
                <w:sz w:val="20"/>
                <w:szCs w:val="20"/>
              </w:rPr>
              <w:t> </w:t>
            </w:r>
          </w:p>
          <w:p w14:paraId="2DB17AB2" w14:textId="6315ECB5" w:rsidR="00C91C40" w:rsidRPr="007D3D4F" w:rsidRDefault="00145EC0" w:rsidP="00145EC0">
            <w:pPr>
              <w:pStyle w:val="Smn"/>
              <w:spacing w:before="0" w:after="0"/>
              <w:contextualSpacing/>
              <w:jc w:val="center"/>
              <w:rPr>
                <w:rFonts w:ascii="Times New Roman" w:hAnsi="Times New Roman" w:cs="Times New Roman"/>
                <w:color w:val="auto"/>
                <w:sz w:val="20"/>
                <w:szCs w:val="20"/>
              </w:rPr>
            </w:pPr>
            <w:r w:rsidRPr="00FC505E">
              <w:rPr>
                <w:rFonts w:ascii="Times New Roman" w:hAnsi="Times New Roman" w:cs="Times New Roman"/>
                <w:color w:val="auto"/>
                <w:sz w:val="20"/>
                <w:szCs w:val="20"/>
              </w:rPr>
              <w:t>Ministerul</w:t>
            </w:r>
            <w:r>
              <w:rPr>
                <w:rFonts w:ascii="Times New Roman" w:hAnsi="Times New Roman" w:cs="Times New Roman"/>
                <w:color w:val="auto"/>
                <w:sz w:val="20"/>
                <w:szCs w:val="20"/>
              </w:rPr>
              <w:t xml:space="preserve">ui </w:t>
            </w:r>
            <w:r w:rsidRPr="00FC505E">
              <w:rPr>
                <w:rFonts w:ascii="Times New Roman" w:hAnsi="Times New Roman" w:cs="Times New Roman"/>
                <w:color w:val="auto"/>
                <w:sz w:val="20"/>
                <w:szCs w:val="20"/>
              </w:rPr>
              <w:t>Transporturilor și Infrastructurii</w:t>
            </w:r>
          </w:p>
        </w:tc>
        <w:tc>
          <w:tcPr>
            <w:tcW w:w="2952" w:type="pct"/>
            <w:shd w:val="clear" w:color="auto" w:fill="E7E6E6" w:themeFill="background2"/>
            <w:vAlign w:val="center"/>
          </w:tcPr>
          <w:p w14:paraId="0CBCB9A3"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3F2A53D1"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55DE5C34"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Realizarea infrastructurii în localitățile identificate în studiile de teren și în analiza de mobilitate ca având trafic actual sau potențial semnificativ. Este parte a primei etape de implementare a rețelei.</w:t>
            </w:r>
          </w:p>
        </w:tc>
      </w:tr>
      <w:tr w:rsidR="00C91C40" w:rsidRPr="007D3D4F" w14:paraId="048F4C5F" w14:textId="77777777" w:rsidTr="00E86ADB">
        <w:trPr>
          <w:jc w:val="center"/>
        </w:trPr>
        <w:tc>
          <w:tcPr>
            <w:tcW w:w="0" w:type="auto"/>
            <w:shd w:val="clear" w:color="auto" w:fill="E7E6E6" w:themeFill="background2"/>
            <w:vAlign w:val="center"/>
          </w:tcPr>
          <w:p w14:paraId="3F625AFD"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3B4972FA"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Dezvoltarea unei infrastructuri de acostare pentru transportul public pe rețeaua clasică de transport (nave clasice de transport și nave rapide) – faza II (Tatanir, Salceni, Murighiol) – </w:t>
            </w:r>
            <w:r w:rsidRPr="007D3D4F">
              <w:rPr>
                <w:rFonts w:ascii="Times New Roman" w:hAnsi="Times New Roman" w:cs="Times New Roman"/>
                <w:b/>
                <w:bCs/>
                <w:color w:val="auto"/>
                <w:sz w:val="20"/>
                <w:szCs w:val="20"/>
              </w:rPr>
              <w:t>3 locații</w:t>
            </w:r>
          </w:p>
        </w:tc>
        <w:tc>
          <w:tcPr>
            <w:tcW w:w="624" w:type="pct"/>
            <w:shd w:val="clear" w:color="auto" w:fill="E7E6E6" w:themeFill="background2"/>
            <w:vAlign w:val="center"/>
          </w:tcPr>
          <w:p w14:paraId="771719A1" w14:textId="77777777" w:rsidR="00145EC0" w:rsidRDefault="00145EC0" w:rsidP="00145EC0">
            <w:pPr>
              <w:pStyle w:val="Smn"/>
              <w:spacing w:before="0" w:after="0"/>
              <w:contextualSpacing/>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Conform studiilor </w:t>
            </w:r>
            <w:r w:rsidRPr="00FC505E">
              <w:rPr>
                <w:rFonts w:ascii="Times New Roman" w:hAnsi="Times New Roman" w:cs="Times New Roman"/>
                <w:color w:val="auto"/>
                <w:sz w:val="20"/>
                <w:szCs w:val="20"/>
              </w:rPr>
              <w:t> </w:t>
            </w:r>
          </w:p>
          <w:p w14:paraId="0BCCBD36" w14:textId="4C3F2D00" w:rsidR="00C91C40" w:rsidRPr="007D3D4F" w:rsidRDefault="00145EC0" w:rsidP="00145EC0">
            <w:pPr>
              <w:pStyle w:val="Smn"/>
              <w:spacing w:before="0" w:after="0"/>
              <w:contextualSpacing/>
              <w:jc w:val="center"/>
              <w:rPr>
                <w:rFonts w:ascii="Times New Roman" w:hAnsi="Times New Roman" w:cs="Times New Roman"/>
                <w:color w:val="auto"/>
                <w:sz w:val="20"/>
                <w:szCs w:val="20"/>
              </w:rPr>
            </w:pPr>
            <w:r w:rsidRPr="00FC505E">
              <w:rPr>
                <w:rFonts w:ascii="Times New Roman" w:hAnsi="Times New Roman" w:cs="Times New Roman"/>
                <w:color w:val="auto"/>
                <w:sz w:val="20"/>
                <w:szCs w:val="20"/>
              </w:rPr>
              <w:t>Ministerul</w:t>
            </w:r>
            <w:r>
              <w:rPr>
                <w:rFonts w:ascii="Times New Roman" w:hAnsi="Times New Roman" w:cs="Times New Roman"/>
                <w:color w:val="auto"/>
                <w:sz w:val="20"/>
                <w:szCs w:val="20"/>
              </w:rPr>
              <w:t xml:space="preserve">ui </w:t>
            </w:r>
            <w:r w:rsidRPr="00FC505E">
              <w:rPr>
                <w:rFonts w:ascii="Times New Roman" w:hAnsi="Times New Roman" w:cs="Times New Roman"/>
                <w:color w:val="auto"/>
                <w:sz w:val="20"/>
                <w:szCs w:val="20"/>
              </w:rPr>
              <w:t>Transporturilor și Infrastructurii</w:t>
            </w:r>
          </w:p>
        </w:tc>
        <w:tc>
          <w:tcPr>
            <w:tcW w:w="2952" w:type="pct"/>
            <w:shd w:val="clear" w:color="auto" w:fill="E7E6E6" w:themeFill="background2"/>
            <w:vAlign w:val="center"/>
          </w:tcPr>
          <w:p w14:paraId="488372AB"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75D2F0D8"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386E8FCC"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Etapa a doua vizează extinderea rețelei de acostare în localități marginale (Tatanir, Sălceni, Murighiol), pentru a acoperi întreg teritoriul în mod echitabil, conform strategiei de coeziune teritorială.</w:t>
            </w:r>
          </w:p>
        </w:tc>
      </w:tr>
      <w:tr w:rsidR="00C91C40" w:rsidRPr="007D3D4F" w14:paraId="571D97AB" w14:textId="77777777" w:rsidTr="00E86ADB">
        <w:trPr>
          <w:jc w:val="center"/>
        </w:trPr>
        <w:tc>
          <w:tcPr>
            <w:tcW w:w="0" w:type="auto"/>
            <w:shd w:val="clear" w:color="auto" w:fill="E7E6E6" w:themeFill="background2"/>
            <w:vAlign w:val="center"/>
          </w:tcPr>
          <w:p w14:paraId="08718207"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595EBC9"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Achiziționarea unui sistem de securitate a pasagerilor (sistem de scanare a pasagerilor și a bagajelor acestora) – 18 buc</w:t>
            </w:r>
          </w:p>
        </w:tc>
        <w:tc>
          <w:tcPr>
            <w:tcW w:w="624" w:type="pct"/>
            <w:shd w:val="clear" w:color="auto" w:fill="E7E6E6" w:themeFill="background2"/>
            <w:vAlign w:val="center"/>
          </w:tcPr>
          <w:p w14:paraId="6A434666" w14:textId="77777777" w:rsidR="00145EC0" w:rsidRDefault="00145EC0" w:rsidP="00145EC0">
            <w:pPr>
              <w:pStyle w:val="Smn"/>
              <w:spacing w:before="0" w:after="0"/>
              <w:contextualSpacing/>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Conform studiilor </w:t>
            </w:r>
            <w:r w:rsidRPr="00FC505E">
              <w:rPr>
                <w:rFonts w:ascii="Times New Roman" w:hAnsi="Times New Roman" w:cs="Times New Roman"/>
                <w:color w:val="auto"/>
                <w:sz w:val="20"/>
                <w:szCs w:val="20"/>
              </w:rPr>
              <w:t> </w:t>
            </w:r>
          </w:p>
          <w:p w14:paraId="63833C0F" w14:textId="31F0A26E" w:rsidR="00C91C40" w:rsidRPr="007D3D4F" w:rsidRDefault="00145EC0" w:rsidP="00145EC0">
            <w:pPr>
              <w:pStyle w:val="Smn"/>
              <w:spacing w:before="0" w:after="0"/>
              <w:contextualSpacing/>
              <w:jc w:val="center"/>
              <w:rPr>
                <w:rFonts w:ascii="Times New Roman" w:hAnsi="Times New Roman" w:cs="Times New Roman"/>
                <w:color w:val="auto"/>
                <w:sz w:val="20"/>
                <w:szCs w:val="20"/>
              </w:rPr>
            </w:pPr>
            <w:r w:rsidRPr="00FC505E">
              <w:rPr>
                <w:rFonts w:ascii="Times New Roman" w:hAnsi="Times New Roman" w:cs="Times New Roman"/>
                <w:color w:val="auto"/>
                <w:sz w:val="20"/>
                <w:szCs w:val="20"/>
              </w:rPr>
              <w:t>Ministerul</w:t>
            </w:r>
            <w:r>
              <w:rPr>
                <w:rFonts w:ascii="Times New Roman" w:hAnsi="Times New Roman" w:cs="Times New Roman"/>
                <w:color w:val="auto"/>
                <w:sz w:val="20"/>
                <w:szCs w:val="20"/>
              </w:rPr>
              <w:t xml:space="preserve">ui </w:t>
            </w:r>
            <w:r w:rsidRPr="00FC505E">
              <w:rPr>
                <w:rFonts w:ascii="Times New Roman" w:hAnsi="Times New Roman" w:cs="Times New Roman"/>
                <w:color w:val="auto"/>
                <w:sz w:val="20"/>
                <w:szCs w:val="20"/>
              </w:rPr>
              <w:t>Transporturilor și Infrastructurii</w:t>
            </w:r>
          </w:p>
        </w:tc>
        <w:tc>
          <w:tcPr>
            <w:tcW w:w="2952" w:type="pct"/>
            <w:shd w:val="clear" w:color="auto" w:fill="E7E6E6" w:themeFill="background2"/>
            <w:vAlign w:val="center"/>
          </w:tcPr>
          <w:p w14:paraId="3CA3F493"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78EA7F2B"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sprijină obiectivul planului de a crește siguranța și încrederea în transportul naval public. Se alocă în puncte de îmbarcare cu trafic intens, conform hărților de flux din Planul de Mobilitate.</w:t>
            </w:r>
          </w:p>
        </w:tc>
      </w:tr>
      <w:tr w:rsidR="00C91C40" w:rsidRPr="007D3D4F" w14:paraId="5D0578EA" w14:textId="77777777" w:rsidTr="00E86ADB">
        <w:trPr>
          <w:jc w:val="center"/>
        </w:trPr>
        <w:tc>
          <w:tcPr>
            <w:tcW w:w="0" w:type="auto"/>
            <w:shd w:val="clear" w:color="auto" w:fill="E7E6E6" w:themeFill="background2"/>
            <w:vAlign w:val="center"/>
          </w:tcPr>
          <w:p w14:paraId="25506F7D"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9D1C543" w14:textId="384E95BA" w:rsidR="00145EC0" w:rsidRPr="003266AC" w:rsidRDefault="003266AC" w:rsidP="00374462">
            <w:pPr>
              <w:pStyle w:val="Smn"/>
              <w:spacing w:before="0" w:after="0"/>
              <w:contextualSpacing/>
              <w:rPr>
                <w:rFonts w:ascii="Times New Roman" w:hAnsi="Times New Roman" w:cs="Times New Roman"/>
                <w:color w:val="auto"/>
                <w:sz w:val="20"/>
                <w:szCs w:val="20"/>
              </w:rPr>
            </w:pPr>
            <w:r w:rsidRPr="003266AC">
              <w:rPr>
                <w:rFonts w:ascii="Times New Roman" w:hAnsi="Times New Roman" w:cs="Times New Roman"/>
                <w:color w:val="auto"/>
                <w:sz w:val="20"/>
                <w:szCs w:val="20"/>
              </w:rPr>
              <w:t>Amenajare pietonală, peisagistică, dotări si mobilare urbana pentru Portul Turistic Tulcea- Faleza Ivan Patzaichin si digul de aparare aferen</w:t>
            </w:r>
          </w:p>
        </w:tc>
        <w:tc>
          <w:tcPr>
            <w:tcW w:w="624" w:type="pct"/>
            <w:shd w:val="clear" w:color="auto" w:fill="E7E6E6" w:themeFill="background2"/>
            <w:vAlign w:val="center"/>
          </w:tcPr>
          <w:p w14:paraId="1F894D52" w14:textId="44B23CED" w:rsidR="00C91C40" w:rsidRPr="00145EC0" w:rsidRDefault="00EE337A" w:rsidP="00374462">
            <w:pPr>
              <w:pStyle w:val="Smn"/>
              <w:spacing w:before="0" w:after="0"/>
              <w:contextualSpacing/>
              <w:jc w:val="center"/>
              <w:rPr>
                <w:rFonts w:ascii="Times New Roman" w:hAnsi="Times New Roman" w:cs="Times New Roman"/>
                <w:color w:val="EE0000"/>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Judetul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227E5F9A" w14:textId="77777777" w:rsidR="00C91C40" w:rsidRDefault="00EE337A" w:rsidP="00CA1257">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Propunere UAT Judetul Tulcea</w:t>
            </w:r>
          </w:p>
          <w:p w14:paraId="168A91BB" w14:textId="0E285597" w:rsidR="003266AC" w:rsidRPr="007D3D4F" w:rsidRDefault="003266AC" w:rsidP="00CA1257">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Bget de stat/UAT Judetul Tulcea, InvestEU, Fondul pentru Modernizare, Fonduri directe de la Comisia Europeana</w:t>
            </w:r>
          </w:p>
        </w:tc>
      </w:tr>
      <w:tr w:rsidR="00C91C40" w:rsidRPr="007D3D4F" w14:paraId="3D62C322" w14:textId="77777777" w:rsidTr="00E86ADB">
        <w:trPr>
          <w:jc w:val="center"/>
        </w:trPr>
        <w:tc>
          <w:tcPr>
            <w:tcW w:w="0" w:type="auto"/>
            <w:shd w:val="clear" w:color="auto" w:fill="E7E6E6" w:themeFill="background2"/>
            <w:vAlign w:val="center"/>
          </w:tcPr>
          <w:p w14:paraId="3E41E66A"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1314794"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drumului județean DJ 222C Tulcea (int. DJ 222) – Beștepe – Mahmudia – Iazurile – Agighiol (int. DJ 222), l=63.105 km</w:t>
            </w:r>
          </w:p>
        </w:tc>
        <w:tc>
          <w:tcPr>
            <w:tcW w:w="624" w:type="pct"/>
            <w:shd w:val="clear" w:color="auto" w:fill="E7E6E6" w:themeFill="background2"/>
            <w:vAlign w:val="center"/>
          </w:tcPr>
          <w:p w14:paraId="5A93AECA" w14:textId="78C775ED" w:rsidR="00C91C40" w:rsidRPr="007D3D4F" w:rsidRDefault="00CF3268" w:rsidP="0037446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Judetul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6EA553CC" w14:textId="77777777" w:rsidR="00C91C40" w:rsidRPr="007D3D4F" w:rsidRDefault="00C91C40" w:rsidP="0037446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4A947BEB" w14:textId="7777777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Această arteră deservește localități riverane și puncte de transfer naval precum Mahmudia, facilitând aprovizionarea, transportul turistic și accesul către sudul Deltei. Este o componentă esențială a rețelei rutiere de susținere a mobilității intermodale.</w:t>
            </w:r>
          </w:p>
        </w:tc>
      </w:tr>
      <w:tr w:rsidR="00C91C40" w:rsidRPr="007D3D4F" w14:paraId="0CBDF3D7" w14:textId="77777777" w:rsidTr="00E86ADB">
        <w:trPr>
          <w:jc w:val="center"/>
        </w:trPr>
        <w:tc>
          <w:tcPr>
            <w:tcW w:w="0" w:type="auto"/>
            <w:shd w:val="clear" w:color="auto" w:fill="E7E6E6" w:themeFill="background2"/>
            <w:vAlign w:val="center"/>
          </w:tcPr>
          <w:p w14:paraId="10E4C440"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33497702" w14:textId="18AD7801"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drumului județean DJ 222 Tulcea - Agighiol - Sarichioi - Enisala l=</w:t>
            </w:r>
            <w:r w:rsidR="008E1B80">
              <w:rPr>
                <w:rFonts w:ascii="Times New Roman" w:hAnsi="Times New Roman" w:cs="Times New Roman"/>
                <w:color w:val="auto"/>
                <w:sz w:val="20"/>
                <w:szCs w:val="20"/>
              </w:rPr>
              <w:t xml:space="preserve"> 40,00</w:t>
            </w:r>
            <w:r w:rsidRPr="007D3D4F">
              <w:rPr>
                <w:rFonts w:ascii="Times New Roman" w:hAnsi="Times New Roman" w:cs="Times New Roman"/>
                <w:color w:val="auto"/>
                <w:sz w:val="20"/>
                <w:szCs w:val="20"/>
              </w:rPr>
              <w:t xml:space="preserve"> km</w:t>
            </w:r>
          </w:p>
        </w:tc>
        <w:tc>
          <w:tcPr>
            <w:tcW w:w="624" w:type="pct"/>
            <w:shd w:val="clear" w:color="auto" w:fill="E7E6E6" w:themeFill="background2"/>
            <w:vAlign w:val="center"/>
          </w:tcPr>
          <w:p w14:paraId="24676491" w14:textId="0EF05C72" w:rsidR="00C91C40" w:rsidRPr="007D3D4F" w:rsidRDefault="00CF3268" w:rsidP="0037446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Judetul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01B06644" w14:textId="77777777" w:rsidR="00E54164" w:rsidRDefault="00EE337A" w:rsidP="00374462">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 xml:space="preserve">Propunere UAT Judetul </w:t>
            </w:r>
            <w:r w:rsidRPr="00E54164">
              <w:rPr>
                <w:rFonts w:ascii="Times New Roman" w:hAnsi="Times New Roman" w:cs="Times New Roman"/>
                <w:color w:val="auto"/>
                <w:sz w:val="20"/>
                <w:szCs w:val="20"/>
              </w:rPr>
              <w:t xml:space="preserve">Tulcea </w:t>
            </w:r>
          </w:p>
          <w:p w14:paraId="0ADAF38C" w14:textId="75F71A97" w:rsidR="00C91C40" w:rsidRPr="00E54164" w:rsidRDefault="00E54164" w:rsidP="00374462">
            <w:pPr>
              <w:pStyle w:val="Smn"/>
              <w:spacing w:before="0" w:after="0"/>
              <w:contextualSpacing/>
              <w:rPr>
                <w:rFonts w:ascii="Times New Roman" w:hAnsi="Times New Roman" w:cs="Times New Roman"/>
                <w:color w:val="auto"/>
                <w:sz w:val="20"/>
                <w:szCs w:val="20"/>
              </w:rPr>
            </w:pPr>
            <w:r w:rsidRPr="00E54164">
              <w:rPr>
                <w:rFonts w:ascii="Times New Roman" w:hAnsi="Times New Roman" w:cs="Times New Roman"/>
                <w:color w:val="auto"/>
                <w:sz w:val="20"/>
                <w:szCs w:val="20"/>
              </w:rPr>
              <w:t>Traseul conecteaza Sarichioi la rețeaua nationala de drumuri, asigurand fluxul de pasagerisi marfuri spre și dinspre zonele riverane ale Deltei</w:t>
            </w:r>
          </w:p>
        </w:tc>
      </w:tr>
      <w:tr w:rsidR="00C91C40" w:rsidRPr="007D3D4F" w14:paraId="1EA22C5F" w14:textId="77777777" w:rsidTr="00E86ADB">
        <w:trPr>
          <w:jc w:val="center"/>
        </w:trPr>
        <w:tc>
          <w:tcPr>
            <w:tcW w:w="0" w:type="auto"/>
            <w:shd w:val="clear" w:color="auto" w:fill="E7E6E6" w:themeFill="background2"/>
            <w:vAlign w:val="center"/>
          </w:tcPr>
          <w:p w14:paraId="6E40387F"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30C46596" w14:textId="2EAC1DCA"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Reabilitarea drumului județean DJ 223A, tronson </w:t>
            </w:r>
            <w:r w:rsidR="008E1B80">
              <w:rPr>
                <w:rFonts w:ascii="Times New Roman" w:hAnsi="Times New Roman" w:cs="Times New Roman"/>
                <w:color w:val="auto"/>
                <w:sz w:val="20"/>
                <w:szCs w:val="20"/>
              </w:rPr>
              <w:t xml:space="preserve">Intersectie </w:t>
            </w:r>
            <w:r w:rsidRPr="007D3D4F">
              <w:rPr>
                <w:rFonts w:ascii="Times New Roman" w:hAnsi="Times New Roman" w:cs="Times New Roman"/>
                <w:color w:val="auto"/>
                <w:sz w:val="20"/>
                <w:szCs w:val="20"/>
              </w:rPr>
              <w:t>DN 22</w:t>
            </w:r>
            <w:r w:rsidR="008E1B80">
              <w:rPr>
                <w:rFonts w:ascii="Times New Roman" w:hAnsi="Times New Roman" w:cs="Times New Roman"/>
                <w:color w:val="auto"/>
                <w:sz w:val="20"/>
                <w:szCs w:val="20"/>
              </w:rPr>
              <w:t>2E</w:t>
            </w:r>
            <w:r w:rsidRPr="007D3D4F">
              <w:rPr>
                <w:rFonts w:ascii="Times New Roman" w:hAnsi="Times New Roman" w:cs="Times New Roman"/>
                <w:color w:val="auto"/>
                <w:sz w:val="20"/>
                <w:szCs w:val="20"/>
              </w:rPr>
              <w:t>-</w:t>
            </w:r>
            <w:r w:rsidR="008E1B80">
              <w:rPr>
                <w:rFonts w:ascii="Times New Roman" w:hAnsi="Times New Roman" w:cs="Times New Roman"/>
                <w:color w:val="auto"/>
                <w:sz w:val="20"/>
                <w:szCs w:val="20"/>
              </w:rPr>
              <w:t>Razboieni – Intersectie 222B – Fantana mare – Intersectie DN</w:t>
            </w:r>
            <w:r w:rsidR="00A83821">
              <w:rPr>
                <w:rFonts w:ascii="Times New Roman" w:hAnsi="Times New Roman" w:cs="Times New Roman"/>
                <w:color w:val="auto"/>
                <w:sz w:val="20"/>
                <w:szCs w:val="20"/>
              </w:rPr>
              <w:t xml:space="preserve"> </w:t>
            </w:r>
            <w:r w:rsidR="008E1B80">
              <w:rPr>
                <w:rFonts w:ascii="Times New Roman" w:hAnsi="Times New Roman" w:cs="Times New Roman"/>
                <w:color w:val="auto"/>
                <w:sz w:val="20"/>
                <w:szCs w:val="20"/>
              </w:rPr>
              <w:t>22D</w:t>
            </w:r>
            <w:r w:rsidRPr="007D3D4F">
              <w:rPr>
                <w:rFonts w:ascii="Times New Roman" w:hAnsi="Times New Roman" w:cs="Times New Roman"/>
                <w:color w:val="auto"/>
                <w:sz w:val="20"/>
                <w:szCs w:val="20"/>
              </w:rPr>
              <w:t>, km</w:t>
            </w:r>
          </w:p>
        </w:tc>
        <w:tc>
          <w:tcPr>
            <w:tcW w:w="624" w:type="pct"/>
            <w:shd w:val="clear" w:color="auto" w:fill="E7E6E6" w:themeFill="background2"/>
            <w:vAlign w:val="center"/>
          </w:tcPr>
          <w:p w14:paraId="7979F24C" w14:textId="3557695A" w:rsidR="00C91C40" w:rsidRPr="007D3D4F" w:rsidRDefault="00CF3268" w:rsidP="0037446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Judetul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15D8811E" w14:textId="77777777" w:rsidR="00C91C40" w:rsidRDefault="00EE337A" w:rsidP="00374462">
            <w:pPr>
              <w:pStyle w:val="Smn"/>
              <w:spacing w:before="0" w:after="0"/>
              <w:contextualSpacing/>
              <w:rPr>
                <w:rFonts w:ascii="Times New Roman" w:hAnsi="Times New Roman" w:cs="Times New Roman"/>
                <w:strike/>
                <w:color w:val="auto"/>
                <w:sz w:val="20"/>
                <w:szCs w:val="20"/>
              </w:rPr>
            </w:pPr>
            <w:r>
              <w:rPr>
                <w:rFonts w:ascii="Times New Roman" w:hAnsi="Times New Roman" w:cs="Times New Roman"/>
                <w:color w:val="auto"/>
                <w:sz w:val="20"/>
                <w:szCs w:val="20"/>
              </w:rPr>
              <w:t>Propunere UAT Judetul Tulcea</w:t>
            </w:r>
            <w:r w:rsidRPr="00A83821">
              <w:rPr>
                <w:rFonts w:ascii="Times New Roman" w:hAnsi="Times New Roman" w:cs="Times New Roman"/>
                <w:strike/>
                <w:color w:val="auto"/>
                <w:sz w:val="20"/>
                <w:szCs w:val="20"/>
              </w:rPr>
              <w:t xml:space="preserve"> </w:t>
            </w:r>
          </w:p>
          <w:p w14:paraId="25112AC2" w14:textId="535EE1CD" w:rsidR="00772149" w:rsidRPr="00A83821" w:rsidRDefault="00772149" w:rsidP="00374462">
            <w:pPr>
              <w:pStyle w:val="Smn"/>
              <w:spacing w:before="0" w:after="0"/>
              <w:contextualSpacing/>
              <w:rPr>
                <w:rFonts w:ascii="Times New Roman" w:hAnsi="Times New Roman" w:cs="Times New Roman"/>
                <w:strike/>
                <w:color w:val="auto"/>
                <w:sz w:val="20"/>
                <w:szCs w:val="20"/>
              </w:rPr>
            </w:pPr>
            <w:r w:rsidRPr="00E54164">
              <w:rPr>
                <w:rFonts w:ascii="Times New Roman" w:hAnsi="Times New Roman" w:cs="Times New Roman"/>
                <w:color w:val="auto"/>
                <w:sz w:val="20"/>
                <w:szCs w:val="20"/>
              </w:rPr>
              <w:t xml:space="preserve">Traseul conecteaza </w:t>
            </w:r>
            <w:r>
              <w:rPr>
                <w:rFonts w:ascii="Times New Roman" w:hAnsi="Times New Roman" w:cs="Times New Roman"/>
                <w:color w:val="auto"/>
                <w:sz w:val="20"/>
                <w:szCs w:val="20"/>
              </w:rPr>
              <w:t>localitati izolate</w:t>
            </w:r>
            <w:r w:rsidRPr="00E54164">
              <w:rPr>
                <w:rFonts w:ascii="Times New Roman" w:hAnsi="Times New Roman" w:cs="Times New Roman"/>
                <w:color w:val="auto"/>
                <w:sz w:val="20"/>
                <w:szCs w:val="20"/>
              </w:rPr>
              <w:t xml:space="preserve"> la rețeaua nationala de drumuri, asigurand fluxul de pasagerisi marfuri spre și dinspre zonele riverane </w:t>
            </w:r>
            <w:r>
              <w:rPr>
                <w:rFonts w:ascii="Times New Roman" w:hAnsi="Times New Roman" w:cs="Times New Roman"/>
                <w:color w:val="auto"/>
                <w:sz w:val="20"/>
                <w:szCs w:val="20"/>
              </w:rPr>
              <w:t>de interes</w:t>
            </w:r>
          </w:p>
        </w:tc>
      </w:tr>
      <w:tr w:rsidR="00C91C40" w:rsidRPr="007D3D4F" w14:paraId="6C2EFD7B" w14:textId="77777777" w:rsidTr="00E86ADB">
        <w:trPr>
          <w:jc w:val="center"/>
        </w:trPr>
        <w:tc>
          <w:tcPr>
            <w:tcW w:w="0" w:type="auto"/>
            <w:shd w:val="clear" w:color="auto" w:fill="E7E6E6" w:themeFill="background2"/>
            <w:vAlign w:val="center"/>
          </w:tcPr>
          <w:p w14:paraId="22F23DDF"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423C4667" w14:textId="3F876407"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Reabilitarea drumului județean DJ </w:t>
            </w:r>
            <w:r w:rsidR="00A83821">
              <w:rPr>
                <w:rFonts w:ascii="Times New Roman" w:hAnsi="Times New Roman" w:cs="Times New Roman"/>
                <w:color w:val="auto"/>
                <w:sz w:val="20"/>
                <w:szCs w:val="20"/>
              </w:rPr>
              <w:t>229C Nifon-Manastirea Cocos</w:t>
            </w:r>
          </w:p>
        </w:tc>
        <w:tc>
          <w:tcPr>
            <w:tcW w:w="624" w:type="pct"/>
            <w:shd w:val="clear" w:color="auto" w:fill="E7E6E6" w:themeFill="background2"/>
            <w:vAlign w:val="center"/>
          </w:tcPr>
          <w:p w14:paraId="1D65A9F6" w14:textId="6299FE10" w:rsidR="00C91C40" w:rsidRPr="007D3D4F" w:rsidRDefault="00CF3268" w:rsidP="0037446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Judetul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13EBEE87" w14:textId="77777777" w:rsidR="00C91C40" w:rsidRDefault="005E3F92" w:rsidP="00374462">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Propunere UAT Judetul Tulcea</w:t>
            </w:r>
          </w:p>
          <w:p w14:paraId="432E8EF4" w14:textId="18743A0F" w:rsidR="00772149" w:rsidRPr="007D3D4F" w:rsidRDefault="00772149" w:rsidP="00374462">
            <w:pPr>
              <w:pStyle w:val="Smn"/>
              <w:spacing w:before="0" w:after="0"/>
              <w:contextualSpacing/>
              <w:rPr>
                <w:rFonts w:ascii="Times New Roman" w:hAnsi="Times New Roman" w:cs="Times New Roman"/>
                <w:color w:val="auto"/>
                <w:sz w:val="20"/>
                <w:szCs w:val="20"/>
              </w:rPr>
            </w:pPr>
            <w:r w:rsidRPr="00E54164">
              <w:rPr>
                <w:rFonts w:ascii="Times New Roman" w:hAnsi="Times New Roman" w:cs="Times New Roman"/>
                <w:color w:val="auto"/>
                <w:sz w:val="20"/>
                <w:szCs w:val="20"/>
              </w:rPr>
              <w:t xml:space="preserve">Traseul conecteaza </w:t>
            </w:r>
            <w:r>
              <w:rPr>
                <w:rFonts w:ascii="Times New Roman" w:hAnsi="Times New Roman" w:cs="Times New Roman"/>
                <w:color w:val="auto"/>
                <w:sz w:val="20"/>
                <w:szCs w:val="20"/>
              </w:rPr>
              <w:t>localitati izolate</w:t>
            </w:r>
            <w:r w:rsidRPr="00E54164">
              <w:rPr>
                <w:rFonts w:ascii="Times New Roman" w:hAnsi="Times New Roman" w:cs="Times New Roman"/>
                <w:color w:val="auto"/>
                <w:sz w:val="20"/>
                <w:szCs w:val="20"/>
              </w:rPr>
              <w:t xml:space="preserve"> la rețeaua nationala de drumuri, asigurand fluxul de </w:t>
            </w:r>
            <w:r>
              <w:rPr>
                <w:rFonts w:ascii="Times New Roman" w:hAnsi="Times New Roman" w:cs="Times New Roman"/>
                <w:color w:val="auto"/>
                <w:sz w:val="20"/>
                <w:szCs w:val="20"/>
              </w:rPr>
              <w:t>persoane/turisti</w:t>
            </w:r>
            <w:r w:rsidRPr="00E54164">
              <w:rPr>
                <w:rFonts w:ascii="Times New Roman" w:hAnsi="Times New Roman" w:cs="Times New Roman"/>
                <w:color w:val="auto"/>
                <w:sz w:val="20"/>
                <w:szCs w:val="20"/>
              </w:rPr>
              <w:t xml:space="preserve"> spre și dinspre zonele </w:t>
            </w:r>
            <w:r>
              <w:rPr>
                <w:rFonts w:ascii="Times New Roman" w:hAnsi="Times New Roman" w:cs="Times New Roman"/>
                <w:color w:val="auto"/>
                <w:sz w:val="20"/>
                <w:szCs w:val="20"/>
              </w:rPr>
              <w:t>de interes turistic</w:t>
            </w:r>
          </w:p>
        </w:tc>
      </w:tr>
      <w:tr w:rsidR="00C91C40" w:rsidRPr="007D3D4F" w14:paraId="403BA9D1" w14:textId="77777777" w:rsidTr="00E86ADB">
        <w:trPr>
          <w:jc w:val="center"/>
        </w:trPr>
        <w:tc>
          <w:tcPr>
            <w:tcW w:w="0" w:type="auto"/>
            <w:shd w:val="clear" w:color="auto" w:fill="E7E6E6" w:themeFill="background2"/>
            <w:vAlign w:val="center"/>
          </w:tcPr>
          <w:p w14:paraId="61BF4587" w14:textId="77777777" w:rsidR="00C91C40" w:rsidRPr="007D3D4F" w:rsidRDefault="00C91C40"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1DB30FA" w14:textId="1E5EC3D8" w:rsidR="00C91C40" w:rsidRPr="007D3D4F" w:rsidRDefault="00C91C40" w:rsidP="0037446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Reabilitarea drumului județean DJ </w:t>
            </w:r>
            <w:r w:rsidR="00A83821">
              <w:rPr>
                <w:rFonts w:ascii="Times New Roman" w:hAnsi="Times New Roman" w:cs="Times New Roman"/>
                <w:color w:val="auto"/>
                <w:sz w:val="20"/>
                <w:szCs w:val="20"/>
              </w:rPr>
              <w:t>222 A Nifon - Luncavita</w:t>
            </w:r>
          </w:p>
        </w:tc>
        <w:tc>
          <w:tcPr>
            <w:tcW w:w="624" w:type="pct"/>
            <w:shd w:val="clear" w:color="auto" w:fill="E7E6E6" w:themeFill="background2"/>
            <w:vAlign w:val="center"/>
          </w:tcPr>
          <w:p w14:paraId="50F28DA2" w14:textId="522A35D0" w:rsidR="00C91C40" w:rsidRPr="007D3D4F" w:rsidRDefault="00CF3268" w:rsidP="0037446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Judetul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61DF1BE1" w14:textId="77777777" w:rsidR="00C91C40" w:rsidRDefault="00EE337A" w:rsidP="00A83821">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Propunere UAT Judetul Tulcea</w:t>
            </w:r>
            <w:r w:rsidRPr="007D3D4F">
              <w:rPr>
                <w:rFonts w:ascii="Times New Roman" w:hAnsi="Times New Roman" w:cs="Times New Roman"/>
                <w:color w:val="auto"/>
                <w:sz w:val="20"/>
                <w:szCs w:val="20"/>
              </w:rPr>
              <w:t xml:space="preserve"> </w:t>
            </w:r>
          </w:p>
          <w:p w14:paraId="062B251E" w14:textId="473D62E6" w:rsidR="00772149" w:rsidRPr="007D3D4F" w:rsidRDefault="00772149" w:rsidP="00A83821">
            <w:pPr>
              <w:pStyle w:val="Smn"/>
              <w:spacing w:before="0" w:after="0"/>
              <w:contextualSpacing/>
              <w:rPr>
                <w:rFonts w:ascii="Times New Roman" w:hAnsi="Times New Roman" w:cs="Times New Roman"/>
                <w:color w:val="auto"/>
                <w:sz w:val="20"/>
                <w:szCs w:val="20"/>
              </w:rPr>
            </w:pPr>
            <w:r w:rsidRPr="00E54164">
              <w:rPr>
                <w:rFonts w:ascii="Times New Roman" w:hAnsi="Times New Roman" w:cs="Times New Roman"/>
                <w:color w:val="auto"/>
                <w:sz w:val="20"/>
                <w:szCs w:val="20"/>
              </w:rPr>
              <w:lastRenderedPageBreak/>
              <w:t xml:space="preserve">Traseul conecteaza </w:t>
            </w:r>
            <w:r>
              <w:rPr>
                <w:rFonts w:ascii="Times New Roman" w:hAnsi="Times New Roman" w:cs="Times New Roman"/>
                <w:color w:val="auto"/>
                <w:sz w:val="20"/>
                <w:szCs w:val="20"/>
              </w:rPr>
              <w:t>localitati izolate</w:t>
            </w:r>
            <w:r w:rsidRPr="00E54164">
              <w:rPr>
                <w:rFonts w:ascii="Times New Roman" w:hAnsi="Times New Roman" w:cs="Times New Roman"/>
                <w:color w:val="auto"/>
                <w:sz w:val="20"/>
                <w:szCs w:val="20"/>
              </w:rPr>
              <w:t xml:space="preserve"> la rețeaua nationala de drumuri, asigurand fluxul de </w:t>
            </w:r>
            <w:r>
              <w:rPr>
                <w:rFonts w:ascii="Times New Roman" w:hAnsi="Times New Roman" w:cs="Times New Roman"/>
                <w:color w:val="auto"/>
                <w:sz w:val="20"/>
                <w:szCs w:val="20"/>
              </w:rPr>
              <w:t>persoane/turisti</w:t>
            </w:r>
            <w:r w:rsidRPr="00E54164">
              <w:rPr>
                <w:rFonts w:ascii="Times New Roman" w:hAnsi="Times New Roman" w:cs="Times New Roman"/>
                <w:color w:val="auto"/>
                <w:sz w:val="20"/>
                <w:szCs w:val="20"/>
              </w:rPr>
              <w:t xml:space="preserve"> spre și dinspre zonele </w:t>
            </w:r>
            <w:r>
              <w:rPr>
                <w:rFonts w:ascii="Times New Roman" w:hAnsi="Times New Roman" w:cs="Times New Roman"/>
                <w:color w:val="auto"/>
                <w:sz w:val="20"/>
                <w:szCs w:val="20"/>
              </w:rPr>
              <w:t>de interes turistic</w:t>
            </w:r>
          </w:p>
        </w:tc>
      </w:tr>
      <w:tr w:rsidR="005E3F92" w:rsidRPr="007D3D4F" w14:paraId="1EB63A4D" w14:textId="77777777" w:rsidTr="00E86ADB">
        <w:trPr>
          <w:jc w:val="center"/>
        </w:trPr>
        <w:tc>
          <w:tcPr>
            <w:tcW w:w="0" w:type="auto"/>
            <w:shd w:val="clear" w:color="auto" w:fill="E7E6E6" w:themeFill="background2"/>
            <w:vAlign w:val="center"/>
          </w:tcPr>
          <w:p w14:paraId="429FEE75"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C8BE5FC" w14:textId="0B2CBF4C"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Reabilitarea drumului județean DJ </w:t>
            </w:r>
            <w:r>
              <w:rPr>
                <w:rFonts w:ascii="Times New Roman" w:hAnsi="Times New Roman" w:cs="Times New Roman"/>
                <w:color w:val="auto"/>
                <w:sz w:val="20"/>
                <w:szCs w:val="20"/>
              </w:rPr>
              <w:t>222 H – DN 22D Turcoaia</w:t>
            </w:r>
          </w:p>
        </w:tc>
        <w:tc>
          <w:tcPr>
            <w:tcW w:w="624" w:type="pct"/>
            <w:shd w:val="clear" w:color="auto" w:fill="E7E6E6" w:themeFill="background2"/>
            <w:vAlign w:val="center"/>
          </w:tcPr>
          <w:p w14:paraId="6E02A21A" w14:textId="2532B381"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Judetul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0545C7F8" w14:textId="77777777" w:rsidR="005E3F92" w:rsidRDefault="005E3F92" w:rsidP="005E3F92">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Propunere UAT Judetul Tulcea</w:t>
            </w:r>
            <w:r w:rsidRPr="007D3D4F">
              <w:rPr>
                <w:rFonts w:ascii="Times New Roman" w:hAnsi="Times New Roman" w:cs="Times New Roman"/>
                <w:color w:val="auto"/>
                <w:sz w:val="20"/>
                <w:szCs w:val="20"/>
              </w:rPr>
              <w:t xml:space="preserve"> </w:t>
            </w:r>
          </w:p>
          <w:p w14:paraId="7611AA11" w14:textId="6115281E" w:rsidR="00772149" w:rsidRDefault="00772149" w:rsidP="005E3F92">
            <w:pPr>
              <w:pStyle w:val="Smn"/>
              <w:spacing w:before="0" w:after="0"/>
              <w:contextualSpacing/>
              <w:rPr>
                <w:rFonts w:ascii="Times New Roman" w:hAnsi="Times New Roman" w:cs="Times New Roman"/>
                <w:color w:val="auto"/>
                <w:sz w:val="20"/>
                <w:szCs w:val="20"/>
              </w:rPr>
            </w:pPr>
            <w:r w:rsidRPr="00E54164">
              <w:rPr>
                <w:rFonts w:ascii="Times New Roman" w:hAnsi="Times New Roman" w:cs="Times New Roman"/>
                <w:color w:val="auto"/>
                <w:sz w:val="20"/>
                <w:szCs w:val="20"/>
              </w:rPr>
              <w:t xml:space="preserve">Traseul conecteaza </w:t>
            </w:r>
            <w:r>
              <w:rPr>
                <w:rFonts w:ascii="Times New Roman" w:hAnsi="Times New Roman" w:cs="Times New Roman"/>
                <w:color w:val="auto"/>
                <w:sz w:val="20"/>
                <w:szCs w:val="20"/>
              </w:rPr>
              <w:t>localitati izolate</w:t>
            </w:r>
            <w:r w:rsidRPr="00E54164">
              <w:rPr>
                <w:rFonts w:ascii="Times New Roman" w:hAnsi="Times New Roman" w:cs="Times New Roman"/>
                <w:color w:val="auto"/>
                <w:sz w:val="20"/>
                <w:szCs w:val="20"/>
              </w:rPr>
              <w:t xml:space="preserve"> la rețeaua nationala de drumuri, asigurand fluxul de </w:t>
            </w:r>
            <w:r>
              <w:rPr>
                <w:rFonts w:ascii="Times New Roman" w:hAnsi="Times New Roman" w:cs="Times New Roman"/>
                <w:color w:val="auto"/>
                <w:sz w:val="20"/>
                <w:szCs w:val="20"/>
              </w:rPr>
              <w:t>persoane/turisti</w:t>
            </w:r>
            <w:r w:rsidRPr="00E54164">
              <w:rPr>
                <w:rFonts w:ascii="Times New Roman" w:hAnsi="Times New Roman" w:cs="Times New Roman"/>
                <w:color w:val="auto"/>
                <w:sz w:val="20"/>
                <w:szCs w:val="20"/>
              </w:rPr>
              <w:t xml:space="preserve"> spre și dinspre zonele </w:t>
            </w:r>
            <w:r>
              <w:rPr>
                <w:rFonts w:ascii="Times New Roman" w:hAnsi="Times New Roman" w:cs="Times New Roman"/>
                <w:color w:val="auto"/>
                <w:sz w:val="20"/>
                <w:szCs w:val="20"/>
              </w:rPr>
              <w:t>de interes turistic</w:t>
            </w:r>
          </w:p>
        </w:tc>
      </w:tr>
      <w:tr w:rsidR="005E3F92" w:rsidRPr="007D3D4F" w14:paraId="4447069E" w14:textId="77777777" w:rsidTr="00E86ADB">
        <w:trPr>
          <w:jc w:val="center"/>
        </w:trPr>
        <w:tc>
          <w:tcPr>
            <w:tcW w:w="0" w:type="auto"/>
            <w:shd w:val="clear" w:color="auto" w:fill="E7E6E6" w:themeFill="background2"/>
            <w:vAlign w:val="center"/>
          </w:tcPr>
          <w:p w14:paraId="4BEEA06D"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C8D45D9"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Asigurarea condițiilor de navigabilitate pe canalele navigabile interioare</w:t>
            </w:r>
          </w:p>
        </w:tc>
        <w:tc>
          <w:tcPr>
            <w:tcW w:w="624" w:type="pct"/>
            <w:shd w:val="clear" w:color="auto" w:fill="E7E6E6" w:themeFill="background2"/>
            <w:vAlign w:val="center"/>
          </w:tcPr>
          <w:p w14:paraId="72BD5DE9"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ARBDD</w:t>
            </w:r>
          </w:p>
        </w:tc>
        <w:tc>
          <w:tcPr>
            <w:tcW w:w="2952" w:type="pct"/>
            <w:shd w:val="clear" w:color="auto" w:fill="E7E6E6" w:themeFill="background2"/>
            <w:vAlign w:val="center"/>
          </w:tcPr>
          <w:p w14:paraId="65C8A9CE"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5E272EE8"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203F69C7"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Navigabilitatea canalelor interioare este o condiție esențială pentru funcționarea rețelei de transport naval în Delta Dunării. Acest proiect este justificat de necesitatea menținerii parametrilor minimi de adâncime, lățime și curgere a apei pentru a permite circulația navelor de pasageri, de marfă, dar și a ambarcațiunilor de intervenție sau utilitare.</w:t>
            </w:r>
          </w:p>
          <w:p w14:paraId="3BC9B58F"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Conform analizei din Planul de Mobilitate Navală, unele sectoare de canal suferă colmatări periodice, fapt ce determină blocaje, devieri de rută și întârzieri în transportul public. Asigurarea navigabilității reprezintă un obiectiv transversal, esențial pentru funcționarea rețelei de mobilitate propusă, în special în sezonul rece sau la niveluri scăzute ale Dunării.</w:t>
            </w:r>
          </w:p>
        </w:tc>
      </w:tr>
      <w:tr w:rsidR="005E3F92" w:rsidRPr="007D3D4F" w14:paraId="1F6CE152" w14:textId="77777777" w:rsidTr="00E86ADB">
        <w:trPr>
          <w:jc w:val="center"/>
        </w:trPr>
        <w:tc>
          <w:tcPr>
            <w:tcW w:w="0" w:type="auto"/>
            <w:shd w:val="clear" w:color="auto" w:fill="E7E6E6" w:themeFill="background2"/>
            <w:vAlign w:val="center"/>
          </w:tcPr>
          <w:p w14:paraId="73D5A2CD"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65D396A5"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Realizarea unui sistem de semnalizare în Delta Dunării</w:t>
            </w:r>
          </w:p>
        </w:tc>
        <w:tc>
          <w:tcPr>
            <w:tcW w:w="624" w:type="pct"/>
            <w:shd w:val="clear" w:color="auto" w:fill="E7E6E6" w:themeFill="background2"/>
            <w:vAlign w:val="center"/>
          </w:tcPr>
          <w:p w14:paraId="014721AB"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ARBDD</w:t>
            </w:r>
          </w:p>
        </w:tc>
        <w:tc>
          <w:tcPr>
            <w:tcW w:w="2952" w:type="pct"/>
            <w:shd w:val="clear" w:color="auto" w:fill="E7E6E6" w:themeFill="background2"/>
            <w:vAlign w:val="center"/>
          </w:tcPr>
          <w:p w14:paraId="20E35BEA"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4D49DBBA"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Lipsa semnalizării adecvate pe multe tronsoane de canal conduce la riscuri majore privind siguranța navigației, în special în condiții de vizibilitate redusă sau pe traseele secundare. Realizarea unui sistem coerent de semnalizare (balize, semne de avertizare, indicatoare de adâncime sau curent) este inclusă în măsurile complementare prevăzute în Planul de Mobilitate Navală.</w:t>
            </w:r>
          </w:p>
          <w:p w14:paraId="257F4AFF"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Scopul este de a îmbunătăți orientarea navelor, de a reduce incidentele navale și de a permite funcționarea serviciilor de transport public în regim constant și sigur. Proiectul susține și dezvoltarea ecoturismului, oferind un cadru clar și reglementat de navigație în arii naturale protejate.</w:t>
            </w:r>
          </w:p>
        </w:tc>
      </w:tr>
      <w:tr w:rsidR="005E3F92" w:rsidRPr="007D3D4F" w14:paraId="2EAE0806" w14:textId="77777777" w:rsidTr="00E86ADB">
        <w:trPr>
          <w:jc w:val="center"/>
        </w:trPr>
        <w:tc>
          <w:tcPr>
            <w:tcW w:w="0" w:type="auto"/>
            <w:shd w:val="clear" w:color="auto" w:fill="E7E6E6" w:themeFill="background2"/>
            <w:vAlign w:val="center"/>
          </w:tcPr>
          <w:p w14:paraId="2F0CC19C"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76C47B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Eliminarea epavelor abandonate de pe canalele navigabile (14 epave)</w:t>
            </w:r>
          </w:p>
        </w:tc>
        <w:tc>
          <w:tcPr>
            <w:tcW w:w="624" w:type="pct"/>
            <w:shd w:val="clear" w:color="auto" w:fill="E7E6E6" w:themeFill="background2"/>
            <w:vAlign w:val="center"/>
          </w:tcPr>
          <w:p w14:paraId="3007898D"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ARBDD</w:t>
            </w:r>
          </w:p>
        </w:tc>
        <w:tc>
          <w:tcPr>
            <w:tcW w:w="2952" w:type="pct"/>
            <w:shd w:val="clear" w:color="auto" w:fill="E7E6E6" w:themeFill="background2"/>
            <w:vAlign w:val="center"/>
          </w:tcPr>
          <w:p w14:paraId="2C34B2CD"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7CBC2E5F"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Epavele abandonate constituie obstacole majore în calea navigației, influențând negativ siguranța și fluxul de transport. În plus, acestea pot afecta negativ mediul înconjurător, prin posibile scurgeri de combustibil sau contaminanți, fiind o amenințare directă la adresa biodiversității și a funcțiilor ecologice ale canalelor.</w:t>
            </w:r>
          </w:p>
          <w:p w14:paraId="5A4BF2CA"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Planul de Mobilitate Navală subliniază necesitatea eliminării acestor blocaje pentru a restabili funcționalitatea completă a rețelei de transport. Proiectul contribuie direct la îndeplinirea standardelor minime de siguranță a navigației și este o condiție prealabilă pentru implementarea altor măsuri operaționale din plan.</w:t>
            </w:r>
          </w:p>
        </w:tc>
      </w:tr>
      <w:tr w:rsidR="005E3F92" w:rsidRPr="007D3D4F" w14:paraId="20D4BB30" w14:textId="77777777" w:rsidTr="00E86ADB">
        <w:trPr>
          <w:jc w:val="center"/>
        </w:trPr>
        <w:tc>
          <w:tcPr>
            <w:tcW w:w="0" w:type="auto"/>
            <w:shd w:val="clear" w:color="auto" w:fill="E7E6E6" w:themeFill="background2"/>
            <w:vAlign w:val="center"/>
          </w:tcPr>
          <w:p w14:paraId="6576A372"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3694161"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Construirea portului Tulcea Dana 1 Mai (de interes APDM)</w:t>
            </w:r>
          </w:p>
        </w:tc>
        <w:tc>
          <w:tcPr>
            <w:tcW w:w="624" w:type="pct"/>
            <w:shd w:val="clear" w:color="auto" w:fill="E7E6E6" w:themeFill="background2"/>
            <w:vAlign w:val="center"/>
          </w:tcPr>
          <w:p w14:paraId="47FDEE78"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CN APDM SA Galați</w:t>
            </w:r>
          </w:p>
        </w:tc>
        <w:tc>
          <w:tcPr>
            <w:tcW w:w="2952" w:type="pct"/>
            <w:shd w:val="clear" w:color="auto" w:fill="E7E6E6" w:themeFill="background2"/>
            <w:vAlign w:val="center"/>
          </w:tcPr>
          <w:p w14:paraId="73B24F54"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1A9A2C46"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27A13C7E"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Această investiție contribuie la crearea unei infrastructuri portuare industriale și comerciale care să degreveze traficul din portul principal de pasageri. Este o măsură strategică pentru separarea fluxurilor de marfă de cele de persoane, în vederea reducerii riscurilor și creșterii eficienței operaționale.</w:t>
            </w:r>
          </w:p>
          <w:p w14:paraId="6F9A770D"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Integrată de Dezvoltare Durabilă a Deltei Dunării</w:t>
            </w:r>
          </w:p>
          <w:p w14:paraId="13D6204B"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este în conformitate cu Strategia Integrată de Dezvoltare Durabilă a Deltei Dunării, Intervenția I.84, care prevede modernizarea porturilor Tulcea, Sulina, Măcin, Isaccea, Mahmudia și Chilia. Aceste intervenții sunt propuse pentru finanțare prin POIM – Axa Prioritară 2, programe guvernamentale sau alte fonduri, cu scopul de a integra porturile în fluxurile logistice de mărfuri și pasageri, de a îmbunătăți conexiunile multimodale și de a crește capacitatea de operare și atractivitatea pentru transportul de pasageri, marfă, nave de croazieră și ambarcațiuni de agrement.</w:t>
            </w:r>
          </w:p>
          <w:p w14:paraId="18A18662"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Pentru portul Tulcea SIDDDD prevede:</w:t>
            </w:r>
          </w:p>
          <w:p w14:paraId="07AD2CBB"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danelor de acostare pentru nave de pasageri și marfă;</w:t>
            </w:r>
          </w:p>
          <w:p w14:paraId="1999AE38"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căilor ferate și drumurilor de acces în portul Comercial și Industrial;</w:t>
            </w:r>
          </w:p>
          <w:p w14:paraId="37BD5B3C"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dezvoltarea unui terminal multimodal și a facilităților pentru ambarcațiuni de agrement și croazieră;</w:t>
            </w:r>
          </w:p>
          <w:p w14:paraId="7661CBCF"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digitalizarea fluxurilor portuare.</w:t>
            </w:r>
          </w:p>
        </w:tc>
      </w:tr>
      <w:tr w:rsidR="005E3F92" w:rsidRPr="007D3D4F" w14:paraId="3D62C3B2" w14:textId="77777777" w:rsidTr="00E86ADB">
        <w:trPr>
          <w:jc w:val="center"/>
        </w:trPr>
        <w:tc>
          <w:tcPr>
            <w:tcW w:w="0" w:type="auto"/>
            <w:shd w:val="clear" w:color="auto" w:fill="E7E6E6" w:themeFill="background2"/>
            <w:vAlign w:val="center"/>
          </w:tcPr>
          <w:p w14:paraId="55F7FD50"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25BDC812"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 port Chilia</w:t>
            </w:r>
          </w:p>
        </w:tc>
        <w:tc>
          <w:tcPr>
            <w:tcW w:w="624" w:type="pct"/>
            <w:shd w:val="clear" w:color="auto" w:fill="E7E6E6" w:themeFill="background2"/>
            <w:vAlign w:val="center"/>
          </w:tcPr>
          <w:p w14:paraId="7CB1247D"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CN APDM SA Galați</w:t>
            </w:r>
          </w:p>
        </w:tc>
        <w:tc>
          <w:tcPr>
            <w:tcW w:w="2952" w:type="pct"/>
            <w:shd w:val="clear" w:color="auto" w:fill="E7E6E6" w:themeFill="background2"/>
            <w:vAlign w:val="center"/>
          </w:tcPr>
          <w:p w14:paraId="32D1DA54"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37B1995D"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33555E40"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Portul Chilia deservește o zonă cu grad ridicat de izolare geografică. Reabilitarea portului este justificată prin necesitatea de a oferi acces sigur și continuu la transport fluvial pentru persoane și mărfuri, în special în condiții climatice dificile.</w:t>
            </w:r>
          </w:p>
          <w:p w14:paraId="6D0D9271"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Integrată de Dezvoltare Durabilă a Deltei Dunării</w:t>
            </w:r>
          </w:p>
          <w:p w14:paraId="3CB7E70C"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este în conformitate cu Strategia Integrată de Dezvoltare Durabilă a Deltei Dunării, Intervenția I.84, care prevede modernizarea porturilor Tulcea, Sulina, Măcin, Isaccea, Mahmudia și Chilia. Aceste intervenții sunt propuse pentru finanțare prin POIM – Axa Prioritară 2, programe guvernamentale sau alte fonduri, cu scopul de a integra porturile în fluxurile logistice de mărfuri și pasageri, de a îmbunătăți conexiunile multimodale și de a crește capacitatea de operare și atractivitatea pentru transportul de pasageri, marfă, nave de croazieră și ambarcațiuni de agrement.</w:t>
            </w:r>
          </w:p>
          <w:p w14:paraId="762783B5"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Pentru portul Chilia SIDDDD prevede:</w:t>
            </w:r>
          </w:p>
          <w:p w14:paraId="64F4BA7A"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lastRenderedPageBreak/>
              <w:t>modernizarea danei de operare pentru navele de marfă;</w:t>
            </w:r>
          </w:p>
          <w:p w14:paraId="1BA2C0C0"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danei pentru pasageri;</w:t>
            </w:r>
          </w:p>
          <w:p w14:paraId="4DC944D7"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îmbunătățirea conexiunilor rutiere spre și dinspre port.</w:t>
            </w:r>
          </w:p>
        </w:tc>
      </w:tr>
      <w:tr w:rsidR="005E3F92" w:rsidRPr="007D3D4F" w14:paraId="2FBB8077" w14:textId="77777777" w:rsidTr="00E86ADB">
        <w:trPr>
          <w:jc w:val="center"/>
        </w:trPr>
        <w:tc>
          <w:tcPr>
            <w:tcW w:w="0" w:type="auto"/>
            <w:shd w:val="clear" w:color="auto" w:fill="E7E6E6" w:themeFill="background2"/>
            <w:vAlign w:val="center"/>
          </w:tcPr>
          <w:p w14:paraId="10FA6A78"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71D33929"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 port Mahmudia</w:t>
            </w:r>
          </w:p>
        </w:tc>
        <w:tc>
          <w:tcPr>
            <w:tcW w:w="624" w:type="pct"/>
            <w:shd w:val="clear" w:color="auto" w:fill="E7E6E6" w:themeFill="background2"/>
            <w:vAlign w:val="center"/>
          </w:tcPr>
          <w:p w14:paraId="4F44C33E"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CN APDM SA Galați</w:t>
            </w:r>
          </w:p>
        </w:tc>
        <w:tc>
          <w:tcPr>
            <w:tcW w:w="2952" w:type="pct"/>
            <w:shd w:val="clear" w:color="auto" w:fill="E7E6E6" w:themeFill="background2"/>
            <w:vAlign w:val="center"/>
          </w:tcPr>
          <w:p w14:paraId="1C030A5A"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3BB0D698"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0A254C08"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Mahmudia reprezintă un nod regional important pentru pasageri și marfă, cu poziționare strategică între Tulcea și Sfântu Gheorghe. Reabilitarea portului este inclusă în scenariul 1 de dezvoltare propus de planul de mobilitate, pentru creșterea capacității și îmbunătățirea siguranței operațiunilor.</w:t>
            </w:r>
          </w:p>
          <w:p w14:paraId="53E274F8" w14:textId="77777777" w:rsidR="005E3F92" w:rsidRPr="007D3D4F" w:rsidRDefault="005E3F92" w:rsidP="005E3F92">
            <w:pPr>
              <w:contextualSpacing/>
              <w:jc w:val="both"/>
              <w:rPr>
                <w:rFonts w:ascii="Times New Roman" w:eastAsiaTheme="majorEastAsia" w:hAnsi="Times New Roman" w:cs="Times New Roman"/>
                <w:b/>
                <w:bCs/>
                <w:sz w:val="20"/>
                <w:szCs w:val="20"/>
              </w:rPr>
            </w:pPr>
            <w:r w:rsidRPr="007D3D4F">
              <w:rPr>
                <w:rFonts w:ascii="Times New Roman" w:eastAsiaTheme="majorEastAsia" w:hAnsi="Times New Roman" w:cs="Times New Roman"/>
                <w:b/>
                <w:bCs/>
                <w:sz w:val="20"/>
                <w:szCs w:val="20"/>
              </w:rPr>
              <w:t>Strategia Integrată de Dezvoltare Durabilă a Deltei Dunării</w:t>
            </w:r>
          </w:p>
          <w:p w14:paraId="31AE326D" w14:textId="77777777" w:rsidR="005E3F92" w:rsidRPr="007D3D4F" w:rsidRDefault="005E3F92" w:rsidP="005E3F92">
            <w:pPr>
              <w:contextualSpacing/>
              <w:jc w:val="both"/>
              <w:rPr>
                <w:rFonts w:ascii="Times New Roman" w:eastAsiaTheme="majorEastAsia" w:hAnsi="Times New Roman" w:cs="Times New Roman"/>
                <w:sz w:val="20"/>
                <w:szCs w:val="20"/>
              </w:rPr>
            </w:pPr>
            <w:r w:rsidRPr="007D3D4F">
              <w:rPr>
                <w:rFonts w:ascii="Times New Roman" w:eastAsiaTheme="majorEastAsia" w:hAnsi="Times New Roman" w:cs="Times New Roman"/>
                <w:sz w:val="20"/>
                <w:szCs w:val="20"/>
              </w:rPr>
              <w:t>Proiectul este în conformitate cu Strategia Integrată de Dezvoltare Durabilă a Deltei Dunării, Intervenția I.84, care prevede modernizarea porturilor Tulcea, Sulina, Măcin, Isaccea, Mahmudia și Chilia. Aceste intervenții sunt propuse pentru finanțare prin POIM – Axa Prioritară 2, programe guvernamentale sau alte fonduri, cu scopul de a integra porturile în fluxurile logistice de mărfuri și pasageri, de a îmbunătăți conexiunile multimodale și de a crește capacitatea de operare și atractivitatea pentru transportul de pasageri, marfă, nave de croazieră și ambarcațiuni de agrement.</w:t>
            </w:r>
          </w:p>
          <w:p w14:paraId="02D13B65" w14:textId="77777777" w:rsidR="005E3F92" w:rsidRPr="007D3D4F" w:rsidRDefault="005E3F92" w:rsidP="005E3F92">
            <w:pPr>
              <w:contextualSpacing/>
              <w:jc w:val="both"/>
              <w:rPr>
                <w:rFonts w:ascii="Times New Roman" w:eastAsiaTheme="majorEastAsia" w:hAnsi="Times New Roman" w:cs="Times New Roman"/>
                <w:b/>
                <w:bCs/>
                <w:sz w:val="20"/>
                <w:szCs w:val="20"/>
              </w:rPr>
            </w:pPr>
            <w:r w:rsidRPr="007D3D4F">
              <w:rPr>
                <w:rFonts w:ascii="Times New Roman" w:eastAsiaTheme="majorEastAsia" w:hAnsi="Times New Roman" w:cs="Times New Roman"/>
                <w:b/>
                <w:bCs/>
                <w:sz w:val="20"/>
                <w:szCs w:val="20"/>
              </w:rPr>
              <w:t>Pentru portul Mahmudia SIDDDD prevede:</w:t>
            </w:r>
          </w:p>
          <w:p w14:paraId="2FE04338" w14:textId="77777777" w:rsidR="005E3F92" w:rsidRPr="007D3D4F" w:rsidRDefault="005E3F92" w:rsidP="00D81598">
            <w:pPr>
              <w:numPr>
                <w:ilvl w:val="0"/>
                <w:numId w:val="31"/>
              </w:numPr>
              <w:contextualSpacing/>
              <w:jc w:val="both"/>
              <w:rPr>
                <w:rFonts w:ascii="Times New Roman" w:eastAsiaTheme="majorEastAsia" w:hAnsi="Times New Roman" w:cs="Times New Roman"/>
                <w:sz w:val="20"/>
                <w:szCs w:val="20"/>
              </w:rPr>
            </w:pPr>
            <w:r w:rsidRPr="007D3D4F">
              <w:rPr>
                <w:rFonts w:ascii="Times New Roman" w:eastAsiaTheme="majorEastAsia" w:hAnsi="Times New Roman" w:cs="Times New Roman"/>
                <w:sz w:val="20"/>
                <w:szCs w:val="20"/>
              </w:rPr>
              <w:t>modernizarea frontului de acostare;</w:t>
            </w:r>
          </w:p>
          <w:p w14:paraId="497F97A8" w14:textId="77777777" w:rsidR="005E3F92" w:rsidRPr="007D3D4F" w:rsidRDefault="005E3F92" w:rsidP="00D81598">
            <w:pPr>
              <w:numPr>
                <w:ilvl w:val="0"/>
                <w:numId w:val="31"/>
              </w:numPr>
              <w:contextualSpacing/>
              <w:jc w:val="both"/>
              <w:rPr>
                <w:rFonts w:ascii="Times New Roman" w:eastAsiaTheme="majorEastAsia" w:hAnsi="Times New Roman" w:cs="Times New Roman"/>
                <w:sz w:val="20"/>
                <w:szCs w:val="20"/>
              </w:rPr>
            </w:pPr>
            <w:r w:rsidRPr="007D3D4F">
              <w:rPr>
                <w:rFonts w:ascii="Times New Roman" w:eastAsiaTheme="majorEastAsia" w:hAnsi="Times New Roman" w:cs="Times New Roman"/>
                <w:sz w:val="20"/>
                <w:szCs w:val="20"/>
              </w:rPr>
              <w:t>crearea de facilități noi pentru operarea mărfurilor și pasagerilor;</w:t>
            </w:r>
          </w:p>
          <w:p w14:paraId="3EE9F07B"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diversificarea serviciilor pentru navele de pasageri.</w:t>
            </w:r>
          </w:p>
        </w:tc>
      </w:tr>
      <w:tr w:rsidR="005E3F92" w:rsidRPr="007D3D4F" w14:paraId="3871DE7D" w14:textId="77777777" w:rsidTr="00E86ADB">
        <w:trPr>
          <w:jc w:val="center"/>
        </w:trPr>
        <w:tc>
          <w:tcPr>
            <w:tcW w:w="0" w:type="auto"/>
            <w:shd w:val="clear" w:color="auto" w:fill="E7E6E6" w:themeFill="background2"/>
            <w:vAlign w:val="center"/>
          </w:tcPr>
          <w:p w14:paraId="473C30A5"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6B22F47E"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 park and ride în aria teritorială a Municipiului Tulcea (10.000 locuri de parcare, inclusiv parcare de tip RO-RO)</w:t>
            </w:r>
          </w:p>
        </w:tc>
        <w:tc>
          <w:tcPr>
            <w:tcW w:w="624" w:type="pct"/>
            <w:shd w:val="clear" w:color="auto" w:fill="E7E6E6" w:themeFill="background2"/>
            <w:vAlign w:val="center"/>
          </w:tcPr>
          <w:p w14:paraId="370A7BB6" w14:textId="01F66415"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Municipiul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2838CB5D"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25DE64E3"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urmărește reducerea presiunii asupra traficului rutier urban și facilitarea transferului către transportul naval sau public. Potrivit Planului de Mobilitate Navală, municipiul Tulcea este principalul nod de intrare în Delta Dunării și generează un flux sezonier crescut de turiști, navetiști și transport comercial. Crearea unei rețele de parcări de tip park &amp; ride permite:</w:t>
            </w:r>
          </w:p>
          <w:p w14:paraId="5FD1117C" w14:textId="77777777" w:rsidR="005E3F92" w:rsidRPr="007D3D4F" w:rsidRDefault="005E3F92" w:rsidP="00D81598">
            <w:pPr>
              <w:pStyle w:val="Smn"/>
              <w:numPr>
                <w:ilvl w:val="0"/>
                <w:numId w:val="30"/>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Preluarea eficientă a autoturismelor personale din zonele periurbane și turistice;</w:t>
            </w:r>
          </w:p>
          <w:p w14:paraId="7298A4A6" w14:textId="77777777" w:rsidR="005E3F92" w:rsidRPr="007D3D4F" w:rsidRDefault="005E3F92" w:rsidP="00D81598">
            <w:pPr>
              <w:pStyle w:val="Smn"/>
              <w:numPr>
                <w:ilvl w:val="0"/>
                <w:numId w:val="30"/>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Redirecționarea pasagerilor către mijloacele de transport naval sau rutier public;</w:t>
            </w:r>
          </w:p>
          <w:p w14:paraId="64F17601" w14:textId="77777777" w:rsidR="005E3F92" w:rsidRPr="007D3D4F" w:rsidRDefault="005E3F92" w:rsidP="00D81598">
            <w:pPr>
              <w:pStyle w:val="Smn"/>
              <w:numPr>
                <w:ilvl w:val="0"/>
                <w:numId w:val="30"/>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Asigurarea unui acces organizat la terminalele portuare, inclusiv pentru transportul RO-RO (Roll-on/Roll-off), necesar transferului de autovehicule sau marfă ușoară pe nave.</w:t>
            </w:r>
          </w:p>
          <w:p w14:paraId="1E48EE6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Acest proiect este aliniat cu strategiile de mobilitate urbană durabilă și cu obiectivul de integrare a modurilor de transport în punctele de acces către Delta Dunării.</w:t>
            </w:r>
          </w:p>
          <w:p w14:paraId="6EEE26A0"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lastRenderedPageBreak/>
              <w:t>Planul urbanistic general al Municipiului Tulcea</w:t>
            </w:r>
          </w:p>
          <w:p w14:paraId="414CC016"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Documentul recomandă implementarea unor facilități Park &amp; Ride în zonele periferice și în proximitatea portului, ca parte dintr-o strategie de gestionare a cererii de mobilitate și reducere a traficului auto în centrul orașului.</w:t>
            </w:r>
          </w:p>
        </w:tc>
      </w:tr>
      <w:tr w:rsidR="005E3F92" w:rsidRPr="007D3D4F" w14:paraId="50F4BF2A" w14:textId="77777777" w:rsidTr="00E86ADB">
        <w:trPr>
          <w:jc w:val="center"/>
        </w:trPr>
        <w:tc>
          <w:tcPr>
            <w:tcW w:w="0" w:type="auto"/>
            <w:shd w:val="clear" w:color="auto" w:fill="E7E6E6" w:themeFill="background2"/>
            <w:vAlign w:val="center"/>
          </w:tcPr>
          <w:p w14:paraId="03713ABB"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29E6B8D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Înființarea de parcări speciale la nivelul Municipiului Tulcea pentru îmbarcarea și debarcarea pasagerilor pentru transferul de pe transportul rutier public de persoane pentru transportul naval regulat de persoane</w:t>
            </w:r>
          </w:p>
        </w:tc>
        <w:tc>
          <w:tcPr>
            <w:tcW w:w="624" w:type="pct"/>
            <w:shd w:val="clear" w:color="auto" w:fill="E7E6E6" w:themeFill="background2"/>
            <w:vAlign w:val="center"/>
          </w:tcPr>
          <w:p w14:paraId="134D6CE4" w14:textId="3FFC8F7E"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Municipiul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1C57326F"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58368A5D"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Această investiție are ca scop facilitarea tranziției rapide și sigure între modurile de transport rutier și naval. În prezent, lipsa unor zone dedicate pentru oprire și îmbarcare creează aglomerări, întârzieri și riscuri pentru siguranța pasagerilor. Conform planului de mobilitate, integrarea fizică a punctelor de transfer între autobuze și nave este o condiție fundamentală pentru funcționarea rețelei de transport multimodal.</w:t>
            </w:r>
          </w:p>
          <w:p w14:paraId="3F66FAE9"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sprijină dezvoltarea unei rețele coerente de noduri intermodale locale în jurul portului Tulcea, optimizând fluxurile de pasageri și reducând timpii de transfer.</w:t>
            </w:r>
          </w:p>
          <w:p w14:paraId="6CB49069"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urbanistic general al Municipiului Tulcea</w:t>
            </w:r>
          </w:p>
          <w:p w14:paraId="66150F31"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Studiul evidențiază necesitatea dezvoltării unor rute de transport public adaptate condițiilor geografice ale Deltei, incluzând puncte de transfer auto–naval, precum și autovehicule dedicate pentru conectarea satelor izolate la rutele principale.</w:t>
            </w:r>
          </w:p>
        </w:tc>
      </w:tr>
      <w:tr w:rsidR="005E3F92" w:rsidRPr="007D3D4F" w14:paraId="77D4DFD8" w14:textId="77777777" w:rsidTr="00E86ADB">
        <w:trPr>
          <w:jc w:val="center"/>
        </w:trPr>
        <w:tc>
          <w:tcPr>
            <w:tcW w:w="0" w:type="auto"/>
            <w:shd w:val="clear" w:color="auto" w:fill="E7E6E6" w:themeFill="background2"/>
            <w:vAlign w:val="center"/>
          </w:tcPr>
          <w:p w14:paraId="58568B78"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B3152F0"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Dotarea infrastructurii de transport public de persoane al Municipiului Tulcea cu autovehicule necesare transportului public de persoane care sa realizeze transferul pasagerilor care folosesc Aeroportul International Delta Dunării către Municipiul Tulcea și în special portul Tulcea pentru transferul către navele de transport naval regulat de persoane (3 autovehicule)</w:t>
            </w:r>
          </w:p>
        </w:tc>
        <w:tc>
          <w:tcPr>
            <w:tcW w:w="624" w:type="pct"/>
            <w:shd w:val="clear" w:color="auto" w:fill="E7E6E6" w:themeFill="background2"/>
            <w:vAlign w:val="center"/>
          </w:tcPr>
          <w:p w14:paraId="7E477A94" w14:textId="4DE0A41D"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Municipiul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17368537"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21A155CA"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răspunde nevoii de conectivitate între Aeroportul Internațional Delta Dunării și portul Tulcea, principalul punct de plecare pentru transportul naval regulat spre Delta Dunării. În contextul dezvoltării turismului și al internaționalizării regiunii, acest transfer asigură:</w:t>
            </w:r>
          </w:p>
          <w:p w14:paraId="4564F2CF" w14:textId="77777777" w:rsidR="005E3F92" w:rsidRPr="007D3D4F" w:rsidRDefault="005E3F92" w:rsidP="00D81598">
            <w:pPr>
              <w:pStyle w:val="Smn"/>
              <w:numPr>
                <w:ilvl w:val="0"/>
                <w:numId w:val="30"/>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Legătura între transportul aerian și cel naval;</w:t>
            </w:r>
          </w:p>
          <w:p w14:paraId="4CC3D387" w14:textId="77777777" w:rsidR="005E3F92" w:rsidRPr="007D3D4F" w:rsidRDefault="005E3F92" w:rsidP="00D81598">
            <w:pPr>
              <w:pStyle w:val="Smn"/>
              <w:numPr>
                <w:ilvl w:val="0"/>
                <w:numId w:val="30"/>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Fluidizarea fluxurilor de turiști și pasageri către nave;</w:t>
            </w:r>
          </w:p>
          <w:p w14:paraId="0F96C434" w14:textId="77777777" w:rsidR="005E3F92" w:rsidRPr="007D3D4F" w:rsidRDefault="005E3F92" w:rsidP="00D81598">
            <w:pPr>
              <w:pStyle w:val="Smn"/>
              <w:numPr>
                <w:ilvl w:val="0"/>
                <w:numId w:val="30"/>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Reducerea utilizării transportului individual și a poluării asociate.</w:t>
            </w:r>
          </w:p>
          <w:p w14:paraId="25F1B06C"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este inclus în măsurile de coordonare între moduri de transport din Planul de Mobilitate Navală și completează infrastructura necesară pentru realizarea lanțurilor integrate de mobilitate publică.</w:t>
            </w:r>
          </w:p>
          <w:p w14:paraId="4409D52F"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urbanistic general al Municipiului Tulcea</w:t>
            </w:r>
          </w:p>
          <w:p w14:paraId="48443D85"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Studiul prevede necesitatea unei rețele de transport public modernizate, care să asigure legătura între nodurile de mobilitate majore, inclusiv Aeroportul Internațional Delta Dunării, Portul Tulcea și terminalele de transport naval.</w:t>
            </w:r>
          </w:p>
          <w:p w14:paraId="7CF90229"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De asemenea, studiul susține modernizarea aeroportului pentru a răspunde cererii viitoare de pasageri și marfă, în special în contextul dezvoltării turismului și al transportului de produse perisabile. Se recomandă îmbunătățirea conexiunilor cu rețeaua urbană de transport</w:t>
            </w:r>
          </w:p>
        </w:tc>
      </w:tr>
      <w:tr w:rsidR="005E3F92" w:rsidRPr="007D3D4F" w14:paraId="47A21540" w14:textId="77777777" w:rsidTr="00E86ADB">
        <w:trPr>
          <w:jc w:val="center"/>
        </w:trPr>
        <w:tc>
          <w:tcPr>
            <w:tcW w:w="0" w:type="auto"/>
            <w:shd w:val="clear" w:color="auto" w:fill="E7E6E6" w:themeFill="background2"/>
            <w:vAlign w:val="center"/>
          </w:tcPr>
          <w:p w14:paraId="3C9C5289"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54172F5B"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Navă de transfer pasageri – 50 persoane Tulcea–Tudor Vladimirescu (inclusiv 2 pontoane de acostare)</w:t>
            </w:r>
          </w:p>
        </w:tc>
        <w:tc>
          <w:tcPr>
            <w:tcW w:w="624" w:type="pct"/>
            <w:shd w:val="clear" w:color="auto" w:fill="E7E6E6" w:themeFill="background2"/>
            <w:vAlign w:val="center"/>
          </w:tcPr>
          <w:p w14:paraId="18808AE1" w14:textId="582FA310"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Municipiul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165CA4E5"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7B2E9FC8"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46B4BD82"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Acest proiect asigură conexiunea între municipiul Tulcea și localitatea Tudor Vladimirescu, aflată pe malul opus al Dunării. Este justificat de fluxul zilnic constant de persoane care traversează fluviul pentru muncă, educație sau servicii medicale. Conform analizelor de mobilitate, această rută prezintă un nivel ridicat de cerere pentru transport public local, necesitând o soluție sigură, regulată și eficientă.</w:t>
            </w:r>
          </w:p>
          <w:p w14:paraId="1ED6F5D3"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urbanistic general al Municipiului Tulcea</w:t>
            </w:r>
          </w:p>
          <w:p w14:paraId="37A17213"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Portul este identificat ca nod intermodal major, cu potențial de integrare în rețeaua regională de transport de mărfuri și pasageri. Studiul recomandă modernizarea frontului de acostare și crearea unor facilități care să permită conexiunea eficientă cu transportul rutier și feroviar, precum și cu transportul public urban.</w:t>
            </w:r>
          </w:p>
        </w:tc>
      </w:tr>
      <w:tr w:rsidR="005E3F92" w:rsidRPr="007D3D4F" w14:paraId="3F036422" w14:textId="77777777" w:rsidTr="00E86ADB">
        <w:trPr>
          <w:jc w:val="center"/>
        </w:trPr>
        <w:tc>
          <w:tcPr>
            <w:tcW w:w="0" w:type="auto"/>
            <w:shd w:val="clear" w:color="auto" w:fill="E7E6E6" w:themeFill="background2"/>
            <w:vAlign w:val="center"/>
          </w:tcPr>
          <w:p w14:paraId="301603A1"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579606FC"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și extinderea infrastructurii de transfer auto-peste brațul Sulina între localitățile Tulcea și Tudor Vladimirescu – 1 unitate</w:t>
            </w:r>
          </w:p>
        </w:tc>
        <w:tc>
          <w:tcPr>
            <w:tcW w:w="624" w:type="pct"/>
            <w:shd w:val="clear" w:color="auto" w:fill="E7E6E6" w:themeFill="background2"/>
            <w:vAlign w:val="center"/>
          </w:tcPr>
          <w:p w14:paraId="3196E709" w14:textId="7BE67D7F"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Municipiul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052A16EB"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3ABDF642"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facilitează traversarea auto printr-un sistem de transfer fluvial (feribot), integrând conectivitatea între rețelele rutiere existente. Această investiție este esențială în contextul dezvoltării echilibrate a zonei metropolitane Tulcea și a îmbunătățirii mobilității între cele două maluri.</w:t>
            </w:r>
          </w:p>
          <w:p w14:paraId="249D275B"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urbanistic general al Municipiului Tulcea</w:t>
            </w:r>
          </w:p>
          <w:p w14:paraId="3BFB9EAF"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Studiul evidențiază necesitatea dezvoltării unor rute de transport public adaptate condițiilor geografice ale Deltei, incluzând puncte de transfer auto–naval, precum și autovehicule dedicate pentru conectarea satelor izolate la rutele principale.</w:t>
            </w:r>
          </w:p>
        </w:tc>
      </w:tr>
      <w:tr w:rsidR="005E3F92" w:rsidRPr="007D3D4F" w14:paraId="608B7181" w14:textId="77777777" w:rsidTr="00E86ADB">
        <w:trPr>
          <w:jc w:val="center"/>
        </w:trPr>
        <w:tc>
          <w:tcPr>
            <w:tcW w:w="0" w:type="auto"/>
            <w:shd w:val="clear" w:color="auto" w:fill="E7E6E6" w:themeFill="background2"/>
            <w:vAlign w:val="center"/>
          </w:tcPr>
          <w:p w14:paraId="00254DEA"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322AAA27"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Înființarea unor dane de încărcare/descărcare produse și mărfuri generale pentru localitățile din Delta Dunării în Tulcea – 1 unitate</w:t>
            </w:r>
          </w:p>
        </w:tc>
        <w:tc>
          <w:tcPr>
            <w:tcW w:w="624" w:type="pct"/>
            <w:shd w:val="clear" w:color="auto" w:fill="E7E6E6" w:themeFill="background2"/>
            <w:vAlign w:val="center"/>
          </w:tcPr>
          <w:p w14:paraId="29CE7117" w14:textId="7E0001B3"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Municipiul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6FD535D3"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617EE1E0"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5BAC42E3"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Tulcea reprezintă centrul logistic principal al Deltei, iar înființarea unor facilități dedicate pentru manipularea mărfurilor este esențială pentru eficientizarea aprovizionării localităților izolate. Proiectul susține dezvoltarea economică regională și optimizează lanțurile de aprovizionare conform strategiilor prevăzute în planul de mobilitate.</w:t>
            </w:r>
          </w:p>
          <w:p w14:paraId="7A8EE99C"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Integrată de Dezvoltare Durabilă a Deltei Dunării</w:t>
            </w:r>
          </w:p>
          <w:p w14:paraId="57A4FC22"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Proiectul este în conformitate cu Strategia Integrată de Dezvoltare Durabilă a Deltei Dunării, Intervenția I.84, care prevede modernizarea porturilor Tulcea, Sulina, Măcin, Isaccea, Mahmudia și Chilia. Aceste intervenții sunt propuse pentru finanțare prin POIM – Axa Prioritară 2, programe guvernamentale sau alte fonduri, cu scopul de a integra porturile în fluxurile logistice de mărfuri și pasageri, de a îmbunătăți conexiunile multimodale și de a </w:t>
            </w:r>
            <w:r w:rsidRPr="007D3D4F">
              <w:rPr>
                <w:rFonts w:ascii="Times New Roman" w:hAnsi="Times New Roman" w:cs="Times New Roman"/>
                <w:color w:val="auto"/>
                <w:sz w:val="20"/>
                <w:szCs w:val="20"/>
              </w:rPr>
              <w:lastRenderedPageBreak/>
              <w:t>crește capacitatea de operare și atractivitatea pentru transportul de pasageri, marfă, nave de croazieră și ambarcațiuni de agrement.</w:t>
            </w:r>
          </w:p>
          <w:p w14:paraId="6F6984EE"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Pentru portul Tulcea SIDDDD prevede:</w:t>
            </w:r>
          </w:p>
          <w:p w14:paraId="3E1DA3D5"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danelor de acostare pentru nave de pasageri și marfă;</w:t>
            </w:r>
          </w:p>
          <w:p w14:paraId="12230882"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căilor ferate și drumurilor de acces în portul Comercial și Industrial;</w:t>
            </w:r>
          </w:p>
          <w:p w14:paraId="650A2CCE"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dezvoltarea unui terminal multimodal și a facilităților pentru ambarcațiuni de agrement și croazieră;</w:t>
            </w:r>
          </w:p>
          <w:p w14:paraId="5265C2E9" w14:textId="77777777" w:rsidR="005E3F92" w:rsidRPr="007D3D4F" w:rsidRDefault="005E3F92" w:rsidP="00D81598">
            <w:pPr>
              <w:pStyle w:val="Smn"/>
              <w:numPr>
                <w:ilvl w:val="0"/>
                <w:numId w:val="31"/>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digitalizarea fluxurilor portuare.</w:t>
            </w:r>
          </w:p>
          <w:p w14:paraId="24F349F3"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urbanistic general al Municipiului Tulcea</w:t>
            </w:r>
          </w:p>
          <w:p w14:paraId="2468B8EF"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Portul este identificat ca nod intermodal major, cu potențial de integrare în rețeaua regională de transport de mărfuri și pasageri. Studiul recomandă modernizarea frontului de acostare și crearea unor facilități care să permită conexiunea eficientă cu transportul rutier și feroviar, precum și cu transportul public urban.</w:t>
            </w:r>
          </w:p>
        </w:tc>
      </w:tr>
      <w:tr w:rsidR="005E3F92" w:rsidRPr="007D3D4F" w14:paraId="7CD58B60" w14:textId="77777777" w:rsidTr="00E86ADB">
        <w:trPr>
          <w:jc w:val="center"/>
        </w:trPr>
        <w:tc>
          <w:tcPr>
            <w:tcW w:w="0" w:type="auto"/>
            <w:shd w:val="clear" w:color="auto" w:fill="E7E6E6" w:themeFill="background2"/>
            <w:vAlign w:val="center"/>
          </w:tcPr>
          <w:p w14:paraId="608E430B"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4CAEED63"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Varianta de ocolire a municipiului Tulcea</w:t>
            </w:r>
          </w:p>
        </w:tc>
        <w:tc>
          <w:tcPr>
            <w:tcW w:w="624" w:type="pct"/>
            <w:shd w:val="clear" w:color="auto" w:fill="E7E6E6" w:themeFill="background2"/>
            <w:vAlign w:val="center"/>
          </w:tcPr>
          <w:p w14:paraId="6DD5DA7C" w14:textId="6B3F5302"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Municipiul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402BB9FD"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688AEAF6"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are ca scop devierea traficului rutier de tranzit din interiorul municipiului Tulcea, în special al vehiculelor grele, către o rută alternativă situată în afara zonelor urbane. Această măsură este necesară pentru:</w:t>
            </w:r>
          </w:p>
          <w:p w14:paraId="3464C738" w14:textId="77777777" w:rsidR="005E3F92" w:rsidRPr="007D3D4F" w:rsidRDefault="005E3F92" w:rsidP="00D81598">
            <w:pPr>
              <w:pStyle w:val="Smn"/>
              <w:numPr>
                <w:ilvl w:val="0"/>
                <w:numId w:val="30"/>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Reducerea congestionării traficului în zona portuară și rutelor de acces către terminalele de transport naval;</w:t>
            </w:r>
          </w:p>
          <w:p w14:paraId="193B7FBF" w14:textId="77777777" w:rsidR="005E3F92" w:rsidRPr="007D3D4F" w:rsidRDefault="005E3F92" w:rsidP="00D81598">
            <w:pPr>
              <w:pStyle w:val="Smn"/>
              <w:numPr>
                <w:ilvl w:val="0"/>
                <w:numId w:val="30"/>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Creșterea siguranței și calității vieții în municipiu, în special în zonele turistice și rezidențiale;</w:t>
            </w:r>
          </w:p>
          <w:p w14:paraId="1AA0720B" w14:textId="77777777" w:rsidR="005E3F92" w:rsidRPr="007D3D4F" w:rsidRDefault="005E3F92" w:rsidP="00D81598">
            <w:pPr>
              <w:pStyle w:val="Smn"/>
              <w:numPr>
                <w:ilvl w:val="0"/>
                <w:numId w:val="30"/>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Optimizarea conexiunilor multimodale dintre rețeaua rutieră, portuară și feroviară, în contextul dezvoltării infrastructurii intermodale prevăzute în Planul de Mobilitate Navală al Deltei Dunării.</w:t>
            </w:r>
          </w:p>
          <w:p w14:paraId="1843D78E"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este complementar investițiilor în portul Tulcea, transportul naval de pasageri și marfă, precum și măsurilor de mobilitate durabilă propuse pentru zona metropolitană.</w:t>
            </w:r>
          </w:p>
          <w:p w14:paraId="7DB127F7"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urbanistic general al Municipiului Tulcea</w:t>
            </w:r>
          </w:p>
          <w:p w14:paraId="1057369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Necesitatea reducerii presiunii traficului greu asupra rețelei stradale urbane este explicit argumentată. Studiul propune realizarea unei rute ocolitoare pentru a fluidiza traficul de tranzit, în special în legătură cu zona portuară și accesul către podul peste Dunăre.</w:t>
            </w:r>
          </w:p>
        </w:tc>
      </w:tr>
      <w:tr w:rsidR="005E3F92" w:rsidRPr="007D3D4F" w14:paraId="63442B10" w14:textId="77777777" w:rsidTr="00E86ADB">
        <w:trPr>
          <w:jc w:val="center"/>
        </w:trPr>
        <w:tc>
          <w:tcPr>
            <w:tcW w:w="0" w:type="auto"/>
            <w:shd w:val="clear" w:color="auto" w:fill="E7E6E6" w:themeFill="background2"/>
            <w:vAlign w:val="center"/>
          </w:tcPr>
          <w:p w14:paraId="2750EA3F"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66373CD7" w14:textId="1D16D8D8"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Modernizarea drumului </w:t>
            </w:r>
            <w:r>
              <w:rPr>
                <w:rFonts w:ascii="Times New Roman" w:hAnsi="Times New Roman" w:cs="Times New Roman"/>
                <w:color w:val="auto"/>
                <w:sz w:val="20"/>
                <w:szCs w:val="20"/>
              </w:rPr>
              <w:t xml:space="preserve">Judetean DJ 222N </w:t>
            </w:r>
            <w:r w:rsidRPr="007D3D4F">
              <w:rPr>
                <w:rFonts w:ascii="Times New Roman" w:hAnsi="Times New Roman" w:cs="Times New Roman"/>
                <w:color w:val="auto"/>
                <w:sz w:val="20"/>
                <w:szCs w:val="20"/>
              </w:rPr>
              <w:t>Tulcea–Chilia</w:t>
            </w:r>
            <w:r>
              <w:rPr>
                <w:rFonts w:ascii="Times New Roman" w:hAnsi="Times New Roman" w:cs="Times New Roman"/>
                <w:color w:val="auto"/>
                <w:sz w:val="20"/>
                <w:szCs w:val="20"/>
              </w:rPr>
              <w:t xml:space="preserve"> </w:t>
            </w:r>
            <w:r w:rsidRPr="007D3D4F">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(l = 80 </w:t>
            </w:r>
            <w:r w:rsidRPr="007D3D4F">
              <w:rPr>
                <w:rFonts w:ascii="Times New Roman" w:hAnsi="Times New Roman" w:cs="Times New Roman"/>
                <w:color w:val="auto"/>
                <w:sz w:val="20"/>
                <w:szCs w:val="20"/>
              </w:rPr>
              <w:t>km)</w:t>
            </w:r>
          </w:p>
        </w:tc>
        <w:tc>
          <w:tcPr>
            <w:tcW w:w="624" w:type="pct"/>
            <w:shd w:val="clear" w:color="auto" w:fill="E7E6E6" w:themeFill="background2"/>
            <w:vAlign w:val="center"/>
          </w:tcPr>
          <w:p w14:paraId="7025E8A8" w14:textId="4C7635CE"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Judetul </w:t>
            </w:r>
            <w:r w:rsidRPr="007D3D4F">
              <w:rPr>
                <w:rFonts w:ascii="Times New Roman" w:hAnsi="Times New Roman" w:cs="Times New Roman"/>
                <w:color w:val="auto"/>
                <w:sz w:val="20"/>
                <w:szCs w:val="20"/>
              </w:rPr>
              <w:t>Tulcea</w:t>
            </w:r>
          </w:p>
        </w:tc>
        <w:tc>
          <w:tcPr>
            <w:tcW w:w="2952" w:type="pct"/>
            <w:shd w:val="clear" w:color="auto" w:fill="E7E6E6" w:themeFill="background2"/>
            <w:vAlign w:val="center"/>
          </w:tcPr>
          <w:p w14:paraId="719E8C4B" w14:textId="77777777" w:rsidR="005E3F92" w:rsidRDefault="005E3F92" w:rsidP="005E3F92">
            <w:pPr>
              <w:pStyle w:val="Smn"/>
              <w:spacing w:before="0" w:after="0"/>
              <w:contextualSpacing/>
              <w:rPr>
                <w:rFonts w:ascii="Times New Roman" w:hAnsi="Times New Roman" w:cs="Times New Roman"/>
                <w:color w:val="auto"/>
                <w:sz w:val="20"/>
                <w:szCs w:val="20"/>
              </w:rPr>
            </w:pPr>
          </w:p>
          <w:p w14:paraId="25CA8F6B"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Tulcea</w:t>
            </w:r>
          </w:p>
          <w:p w14:paraId="66ECC2D3"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43817A8F" w14:textId="23FB1962" w:rsidR="005E3F92"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lastRenderedPageBreak/>
              <w:t>Drumul asigură conexiunea între municipiul Tulcea și nordul Deltei, inclusiv către Chilia Veche. Este o rută strategică pentru accesul către punctele portuare de pe brațul Chilia și pentru transportul public sau logistic, completând rețeaua de mobilitate fluvială.</w:t>
            </w:r>
          </w:p>
          <w:p w14:paraId="795B6C17" w14:textId="0D17014D"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Proiectul vizează modernizarea unei rute rutiere strategice de aproximativ </w:t>
            </w:r>
            <w:r>
              <w:rPr>
                <w:rFonts w:ascii="Times New Roman" w:hAnsi="Times New Roman" w:cs="Times New Roman"/>
                <w:color w:val="auto"/>
                <w:sz w:val="20"/>
                <w:szCs w:val="20"/>
              </w:rPr>
              <w:t>80</w:t>
            </w:r>
            <w:r w:rsidRPr="007D3D4F">
              <w:rPr>
                <w:rFonts w:ascii="Times New Roman" w:hAnsi="Times New Roman" w:cs="Times New Roman"/>
                <w:color w:val="auto"/>
                <w:sz w:val="20"/>
                <w:szCs w:val="20"/>
              </w:rPr>
              <w:t xml:space="preserve"> km, în prezent pietruită, care leagă municipiul Tulcea de nordul Deltei Dunării, respectiv de zona Chilia, aflată în proximitatea graniței cu Ucraina.</w:t>
            </w:r>
          </w:p>
          <w:p w14:paraId="434EA052"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Ruta Tulcea–Chilia:</w:t>
            </w:r>
          </w:p>
          <w:p w14:paraId="3A694E45" w14:textId="77777777" w:rsidR="005E3F92" w:rsidRPr="007D3D4F" w:rsidRDefault="005E3F92" w:rsidP="00D81598">
            <w:pPr>
              <w:pStyle w:val="Smn"/>
              <w:numPr>
                <w:ilvl w:val="0"/>
                <w:numId w:val="34"/>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Conectează zona urbană Tulcea cu zona nordică a Deltei, adiacente brațului Chilia;</w:t>
            </w:r>
          </w:p>
          <w:p w14:paraId="74EC76CB" w14:textId="77777777" w:rsidR="005E3F92" w:rsidRPr="007D3D4F" w:rsidRDefault="005E3F92" w:rsidP="00D81598">
            <w:pPr>
              <w:pStyle w:val="Smn"/>
              <w:numPr>
                <w:ilvl w:val="0"/>
                <w:numId w:val="34"/>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Reprezintă în prezent singura variantă rutieră potențială de acces către această zonă, în condițiile în care nu există curse regulate de transport pasageri, iar mobilitatea se realizează exclusiv pe cale fluvială.</w:t>
            </w:r>
          </w:p>
          <w:p w14:paraId="2E963FC2"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Relevanță strategică și socio-economică:</w:t>
            </w:r>
          </w:p>
          <w:p w14:paraId="5518D29D" w14:textId="77777777" w:rsidR="005E3F92" w:rsidRPr="007D3D4F" w:rsidRDefault="005E3F92" w:rsidP="00D81598">
            <w:pPr>
              <w:pStyle w:val="Smn"/>
              <w:numPr>
                <w:ilvl w:val="0"/>
                <w:numId w:val="33"/>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Dezvoltare sustenabilă: modernizarea va sprijini mobilitatea bunurilor și a persoanelor, reducând semnificativ timpii de transport și contribuind la dezvoltarea economică locală;</w:t>
            </w:r>
          </w:p>
          <w:p w14:paraId="3454A269" w14:textId="77777777" w:rsidR="005E3F92" w:rsidRPr="007D3D4F" w:rsidRDefault="005E3F92" w:rsidP="00D81598">
            <w:pPr>
              <w:pStyle w:val="Smn"/>
              <w:numPr>
                <w:ilvl w:val="0"/>
                <w:numId w:val="33"/>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Reducerea izolării: proiectul va contribui la reducerea decalajelor dintre comunitățile izolate din nordul Deltei și restul județului, prin acces mai facil la servicii publice, piață muncii și comerț;</w:t>
            </w:r>
          </w:p>
          <w:p w14:paraId="2DE753A9" w14:textId="77777777" w:rsidR="005E3F92" w:rsidRPr="007D3D4F" w:rsidRDefault="005E3F92" w:rsidP="00D81598">
            <w:pPr>
              <w:pStyle w:val="Smn"/>
              <w:numPr>
                <w:ilvl w:val="0"/>
                <w:numId w:val="33"/>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Siguranță națională: traseul are caracter strategic, în contextul conflictului din Ucraina, prin facilitarea mobilității și a reacției rapide în proximitatea frontierei estice;</w:t>
            </w:r>
          </w:p>
          <w:p w14:paraId="1E81591B" w14:textId="77777777" w:rsidR="005E3F92" w:rsidRPr="007D3D4F" w:rsidRDefault="005E3F92" w:rsidP="00D81598">
            <w:pPr>
              <w:pStyle w:val="Smn"/>
              <w:numPr>
                <w:ilvl w:val="0"/>
                <w:numId w:val="33"/>
              </w:numPr>
              <w:spacing w:before="0" w:after="0"/>
              <w:contextualSpacing/>
              <w:rPr>
                <w:rFonts w:ascii="Times New Roman" w:hAnsi="Times New Roman" w:cs="Times New Roman"/>
                <w:b/>
                <w:bCs/>
                <w:color w:val="auto"/>
                <w:sz w:val="20"/>
                <w:szCs w:val="20"/>
              </w:rPr>
            </w:pPr>
            <w:r w:rsidRPr="007D3D4F">
              <w:rPr>
                <w:rFonts w:ascii="Times New Roman" w:hAnsi="Times New Roman" w:cs="Times New Roman"/>
                <w:color w:val="auto"/>
                <w:sz w:val="20"/>
                <w:szCs w:val="20"/>
              </w:rPr>
              <w:t>Conformare TEN-T: Consiliul Județean Tulcea a realizat demersuri pentru includerea conexiunii în rețeaua extinsă TEN-T, sporind eligibilitatea pentru finanțare europeană.</w:t>
            </w:r>
          </w:p>
        </w:tc>
      </w:tr>
      <w:tr w:rsidR="005E3F92" w:rsidRPr="007D3D4F" w14:paraId="7AB0F6A6" w14:textId="77777777" w:rsidTr="00E86ADB">
        <w:trPr>
          <w:jc w:val="center"/>
        </w:trPr>
        <w:tc>
          <w:tcPr>
            <w:tcW w:w="0" w:type="auto"/>
            <w:shd w:val="clear" w:color="auto" w:fill="E7E6E6" w:themeFill="background2"/>
            <w:vAlign w:val="center"/>
          </w:tcPr>
          <w:p w14:paraId="4934DEE0"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C571DF5"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Drumul Expres Tulcea–Brăila DX8 „Dobrogea Expres” (aprox. 60 km)</w:t>
            </w:r>
          </w:p>
        </w:tc>
        <w:tc>
          <w:tcPr>
            <w:tcW w:w="624" w:type="pct"/>
            <w:shd w:val="clear" w:color="auto" w:fill="E7E6E6" w:themeFill="background2"/>
            <w:vAlign w:val="center"/>
          </w:tcPr>
          <w:p w14:paraId="0524E6AC" w14:textId="6E49F7DD"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FC505E">
              <w:rPr>
                <w:rFonts w:ascii="Times New Roman" w:hAnsi="Times New Roman" w:cs="Times New Roman"/>
                <w:color w:val="auto"/>
                <w:sz w:val="20"/>
                <w:szCs w:val="20"/>
              </w:rPr>
              <w:t>Ministerul</w:t>
            </w:r>
            <w:r>
              <w:rPr>
                <w:rFonts w:ascii="Times New Roman" w:hAnsi="Times New Roman" w:cs="Times New Roman"/>
                <w:color w:val="auto"/>
                <w:sz w:val="20"/>
                <w:szCs w:val="20"/>
              </w:rPr>
              <w:t xml:space="preserve">ui </w:t>
            </w:r>
            <w:r w:rsidRPr="00FC505E">
              <w:rPr>
                <w:rFonts w:ascii="Times New Roman" w:hAnsi="Times New Roman" w:cs="Times New Roman"/>
                <w:color w:val="auto"/>
                <w:sz w:val="20"/>
                <w:szCs w:val="20"/>
              </w:rPr>
              <w:t>Transporturilor și Infrastructurii</w:t>
            </w:r>
          </w:p>
        </w:tc>
        <w:tc>
          <w:tcPr>
            <w:tcW w:w="2952" w:type="pct"/>
            <w:shd w:val="clear" w:color="auto" w:fill="E7E6E6" w:themeFill="background2"/>
            <w:vAlign w:val="center"/>
          </w:tcPr>
          <w:p w14:paraId="73B1FD78"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vizează realizarea unui drum expres nou, cu o lungime de aproximativ 60 km, ce va conecta localitățile Jijila (jud. Brăila) și Cataloi (jud. Tulcea), în completarea infrastructurii strategice reprezentate de Podul peste Dunăre Brăila–Jijila.</w:t>
            </w:r>
          </w:p>
          <w:p w14:paraId="0E55CC26"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Drumul va avea un profil standard de 2×2 benzi de circulație, zonă mediană de 3 m și acostamente consolidabile, cu posibilitatea extinderii ulterioare la 2×3 benzi sau profil de autostradă, conform studiului de trafic.</w:t>
            </w:r>
          </w:p>
          <w:p w14:paraId="0C85827C"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Importanță strategică și impact:</w:t>
            </w:r>
          </w:p>
          <w:p w14:paraId="78EB76C1" w14:textId="77777777" w:rsidR="005E3F92" w:rsidRPr="007D3D4F" w:rsidRDefault="005E3F92" w:rsidP="00D81598">
            <w:pPr>
              <w:pStyle w:val="Smn"/>
              <w:numPr>
                <w:ilvl w:val="0"/>
                <w:numId w:val="33"/>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Preluarea traficului rutier de tranzit și degrevarea rețelei județene și comunale de transport rutier din județele Tulcea și Brăila, reducând uzura infrastructurii locale și costurile de întreținere;</w:t>
            </w:r>
          </w:p>
          <w:p w14:paraId="7C37D4A7" w14:textId="77777777" w:rsidR="005E3F92" w:rsidRPr="007D3D4F" w:rsidRDefault="005E3F92" w:rsidP="00D81598">
            <w:pPr>
              <w:pStyle w:val="Smn"/>
              <w:numPr>
                <w:ilvl w:val="0"/>
                <w:numId w:val="33"/>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lastRenderedPageBreak/>
              <w:t>Facilitarea tranzitului de marfă între nordul și sudul țării, prin scurtarea timpului de deplasare și creșterea capacității de transport rutier de-a lungul coridorului Tulcea–Constanța;</w:t>
            </w:r>
          </w:p>
          <w:p w14:paraId="04E60554" w14:textId="77777777" w:rsidR="005E3F92" w:rsidRPr="007D3D4F" w:rsidRDefault="005E3F92" w:rsidP="00D81598">
            <w:pPr>
              <w:pStyle w:val="Smn"/>
              <w:numPr>
                <w:ilvl w:val="0"/>
                <w:numId w:val="33"/>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Sprijinirea conectivității multimodale, având în vedere legăturile directe cu porturile Tulcea și Constanța, precum și cu infrastructura rutieră și navală din Delta Dunării;</w:t>
            </w:r>
          </w:p>
          <w:p w14:paraId="07672855" w14:textId="77777777" w:rsidR="005E3F92" w:rsidRPr="007D3D4F" w:rsidRDefault="005E3F92" w:rsidP="00D81598">
            <w:pPr>
              <w:pStyle w:val="Smn"/>
              <w:numPr>
                <w:ilvl w:val="0"/>
                <w:numId w:val="33"/>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Creșterea siguranței rutiere, prin separarea fluxurilor de mare viteză de cele locale, cu amenajarea de perdele forestiere de protecție împotriva înzăpezirii.</w:t>
            </w:r>
          </w:p>
          <w:p w14:paraId="1B82FCEE"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urbanistic general al Municipiului Tulcea</w:t>
            </w:r>
          </w:p>
          <w:p w14:paraId="0B2DE4D8"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DX8 este menționat ca proiect strategic ce va reduce presiunea asupra rețelei locale și va îmbunătăți accesibilitatea regională, în special în contextul punerii în funcțiune a podului peste Dunăre.</w:t>
            </w:r>
          </w:p>
        </w:tc>
      </w:tr>
      <w:tr w:rsidR="005E3F92" w:rsidRPr="007D3D4F" w14:paraId="14D8C1AD" w14:textId="77777777" w:rsidTr="00E86ADB">
        <w:trPr>
          <w:jc w:val="center"/>
        </w:trPr>
        <w:tc>
          <w:tcPr>
            <w:tcW w:w="0" w:type="auto"/>
            <w:shd w:val="clear" w:color="auto" w:fill="E7E6E6" w:themeFill="background2"/>
            <w:vAlign w:val="center"/>
          </w:tcPr>
          <w:p w14:paraId="71F349BE"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D60FF9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 unor dane de încărcare descărcare produse și mărfuri generale în Sulina – 2 unități</w:t>
            </w:r>
          </w:p>
        </w:tc>
        <w:tc>
          <w:tcPr>
            <w:tcW w:w="624" w:type="pct"/>
            <w:shd w:val="clear" w:color="auto" w:fill="E7E6E6" w:themeFill="background2"/>
            <w:vAlign w:val="center"/>
          </w:tcPr>
          <w:p w14:paraId="2D39867E" w14:textId="4AFA8309"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Oraș </w:t>
            </w:r>
            <w:r w:rsidRPr="007D3D4F">
              <w:rPr>
                <w:rFonts w:ascii="Times New Roman" w:hAnsi="Times New Roman" w:cs="Times New Roman"/>
                <w:color w:val="auto"/>
                <w:sz w:val="20"/>
                <w:szCs w:val="20"/>
              </w:rPr>
              <w:t>Sulina</w:t>
            </w:r>
          </w:p>
        </w:tc>
        <w:tc>
          <w:tcPr>
            <w:tcW w:w="2952" w:type="pct"/>
            <w:shd w:val="clear" w:color="auto" w:fill="E7E6E6" w:themeFill="background2"/>
            <w:vAlign w:val="center"/>
          </w:tcPr>
          <w:p w14:paraId="12E94C52"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1B219047"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Sulina, ca localitate fără acces rutier, depinde în întregime de transportul naval pentru aprovizionare. Înființarea danelor specializate pentru marfă este vitală pentru susținerea economiei locale și asigurarea rezilienței lanțului de aprovizionare.</w:t>
            </w:r>
          </w:p>
          <w:p w14:paraId="71A8A6E4"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Integrată de Dezvoltare Durabilă a Deltei Dunării</w:t>
            </w:r>
          </w:p>
          <w:p w14:paraId="6E177462"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este în conformitate cu Strategia Integrată de Dezvoltare Durabilă a Deltei Dunării, Intervenția I.84, care prevede modernizarea porturilor Tulcea, Sulina, Măcin, Isaccea, Mahmudia și Chilia. Aceste intervenții sunt propuse pentru finanțare prin POIM – Axa Prioritară 2, programe guvernamentale sau alte fonduri, cu scopul de a integra porturile în fluxurile logistice de mărfuri și pasageri, de a îmbunătăți conexiunile multimodale și de a crește capacitatea de operare și atractivitatea pentru transportul de pasageri, marfă, nave de croazieră și ambarcațiuni de agrement.</w:t>
            </w:r>
          </w:p>
        </w:tc>
      </w:tr>
      <w:tr w:rsidR="005E3F92" w:rsidRPr="007D3D4F" w14:paraId="01E5B4E5" w14:textId="77777777" w:rsidTr="00E86ADB">
        <w:trPr>
          <w:jc w:val="center"/>
        </w:trPr>
        <w:tc>
          <w:tcPr>
            <w:tcW w:w="0" w:type="auto"/>
            <w:shd w:val="clear" w:color="auto" w:fill="E7E6E6" w:themeFill="background2"/>
            <w:vAlign w:val="center"/>
          </w:tcPr>
          <w:p w14:paraId="5A8AB6E1"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696B5F3"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 port Sulina</w:t>
            </w:r>
          </w:p>
        </w:tc>
        <w:tc>
          <w:tcPr>
            <w:tcW w:w="624" w:type="pct"/>
            <w:shd w:val="clear" w:color="auto" w:fill="E7E6E6" w:themeFill="background2"/>
            <w:vAlign w:val="center"/>
          </w:tcPr>
          <w:p w14:paraId="2ECEE772" w14:textId="24FACD51"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Oraș </w:t>
            </w:r>
            <w:r w:rsidRPr="007D3D4F">
              <w:rPr>
                <w:rFonts w:ascii="Times New Roman" w:hAnsi="Times New Roman" w:cs="Times New Roman"/>
                <w:color w:val="auto"/>
                <w:sz w:val="20"/>
                <w:szCs w:val="20"/>
              </w:rPr>
              <w:t>Sulina</w:t>
            </w:r>
          </w:p>
        </w:tc>
        <w:tc>
          <w:tcPr>
            <w:tcW w:w="2952" w:type="pct"/>
            <w:shd w:val="clear" w:color="auto" w:fill="E7E6E6" w:themeFill="background2"/>
            <w:vAlign w:val="center"/>
          </w:tcPr>
          <w:p w14:paraId="5291D4C8"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3F9CEABA"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Portul Sulina este un punct esențial al rețelei de transport fluvial, atât pentru pasageri, cât și pentru marfă. Reabilitarea acestuia este necesară pentru alinierea la standardele actuale de siguranță și capacitate operațională, mai ales în contextul dezvoltării turismului și creșterii fluxurilor comerciale.</w:t>
            </w:r>
          </w:p>
        </w:tc>
      </w:tr>
      <w:tr w:rsidR="005E3F92" w:rsidRPr="007D3D4F" w14:paraId="2D8B8650" w14:textId="77777777" w:rsidTr="00E86ADB">
        <w:trPr>
          <w:jc w:val="center"/>
        </w:trPr>
        <w:tc>
          <w:tcPr>
            <w:tcW w:w="0" w:type="auto"/>
            <w:shd w:val="clear" w:color="auto" w:fill="E7E6E6" w:themeFill="background2"/>
            <w:vAlign w:val="center"/>
          </w:tcPr>
          <w:p w14:paraId="64596811"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54FA3AD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Achiziționarea de autovehicule pentru transportul rutier care sa deservească ruta Sulina - Sf Gheorghe</w:t>
            </w:r>
          </w:p>
        </w:tc>
        <w:tc>
          <w:tcPr>
            <w:tcW w:w="624" w:type="pct"/>
            <w:shd w:val="clear" w:color="auto" w:fill="E7E6E6" w:themeFill="background2"/>
            <w:vAlign w:val="center"/>
          </w:tcPr>
          <w:p w14:paraId="1EAFC204" w14:textId="6C4DC0E3"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Oraș </w:t>
            </w:r>
            <w:r w:rsidRPr="007D3D4F">
              <w:rPr>
                <w:rFonts w:ascii="Times New Roman" w:hAnsi="Times New Roman" w:cs="Times New Roman"/>
                <w:color w:val="auto"/>
                <w:sz w:val="20"/>
                <w:szCs w:val="20"/>
              </w:rPr>
              <w:t>Sulina</w:t>
            </w:r>
          </w:p>
        </w:tc>
        <w:tc>
          <w:tcPr>
            <w:tcW w:w="2952" w:type="pct"/>
            <w:shd w:val="clear" w:color="auto" w:fill="E7E6E6" w:themeFill="background2"/>
            <w:vAlign w:val="center"/>
          </w:tcPr>
          <w:p w14:paraId="57B2D59D"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02B9D0CA"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facilitează conexiunea între două localități izolate din extremitatea estică a Deltei Dunării, acoperind o rută dificil de deservit naval pe tot parcursul anului. Este prevăzut în Scenariul 2 din Planul de Mobilitate Navală al Deltei Dunării, care include dezvoltarea de rute complementare rutiere pentru transfer local și acces la servicii esențiale. Transportul rutier este justificat de lipsa alternativelor directe și de condițiile sezoniere variabile ale canalelor.</w:t>
            </w:r>
          </w:p>
        </w:tc>
      </w:tr>
      <w:tr w:rsidR="005E3F92" w:rsidRPr="007D3D4F" w14:paraId="0212E6D7" w14:textId="77777777" w:rsidTr="00E86ADB">
        <w:trPr>
          <w:jc w:val="center"/>
        </w:trPr>
        <w:tc>
          <w:tcPr>
            <w:tcW w:w="0" w:type="auto"/>
            <w:shd w:val="clear" w:color="auto" w:fill="E7E6E6" w:themeFill="background2"/>
            <w:vAlign w:val="center"/>
          </w:tcPr>
          <w:p w14:paraId="5CAC75FE"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5F37745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 unor dane de încărcare descărcare produse și mărfuri generale pentru localitățile din Delta Dunării</w:t>
            </w:r>
          </w:p>
        </w:tc>
        <w:tc>
          <w:tcPr>
            <w:tcW w:w="624" w:type="pct"/>
            <w:shd w:val="clear" w:color="auto" w:fill="E7E6E6" w:themeFill="background2"/>
            <w:vAlign w:val="center"/>
          </w:tcPr>
          <w:p w14:paraId="6D76994C" w14:textId="6CDD2E86"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 xml:space="preserve">Comuna </w:t>
            </w:r>
            <w:r w:rsidRPr="007D3D4F">
              <w:rPr>
                <w:rFonts w:ascii="Times New Roman" w:hAnsi="Times New Roman" w:cs="Times New Roman"/>
                <w:color w:val="auto"/>
                <w:sz w:val="20"/>
                <w:szCs w:val="20"/>
              </w:rPr>
              <w:t>Nufăru</w:t>
            </w:r>
          </w:p>
        </w:tc>
        <w:tc>
          <w:tcPr>
            <w:tcW w:w="2952" w:type="pct"/>
            <w:shd w:val="clear" w:color="auto" w:fill="E7E6E6" w:themeFill="background2"/>
            <w:vAlign w:val="center"/>
          </w:tcPr>
          <w:p w14:paraId="79E3F031"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3882841C"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Nufăru este una dintre localitățile fluviale care asigură tranzitul mărfurilor între Tulcea și satele din zona de sud a Deltei. Proiectul este justificat de rolul său logistic în aprovizionarea localităților vecine, conform modelului de distribuție propus în plan.</w:t>
            </w:r>
          </w:p>
        </w:tc>
      </w:tr>
      <w:tr w:rsidR="005E3F92" w:rsidRPr="007D3D4F" w14:paraId="1E8772E5" w14:textId="77777777" w:rsidTr="00E86ADB">
        <w:trPr>
          <w:jc w:val="center"/>
        </w:trPr>
        <w:tc>
          <w:tcPr>
            <w:tcW w:w="0" w:type="auto"/>
            <w:shd w:val="clear" w:color="auto" w:fill="E7E6E6" w:themeFill="background2"/>
            <w:vAlign w:val="center"/>
          </w:tcPr>
          <w:p w14:paraId="2A2E7038"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5293CAF8"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și extinderea infrastructurii de transfer auto peste brațul Sf. Gheorghe între localitățile Nufăru și Ilganii de Jos</w:t>
            </w:r>
          </w:p>
        </w:tc>
        <w:tc>
          <w:tcPr>
            <w:tcW w:w="624" w:type="pct"/>
            <w:shd w:val="clear" w:color="auto" w:fill="E7E6E6" w:themeFill="background2"/>
            <w:vAlign w:val="center"/>
          </w:tcPr>
          <w:p w14:paraId="0ADE6689" w14:textId="4AE8AA68"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Nufăru</w:t>
            </w:r>
          </w:p>
        </w:tc>
        <w:tc>
          <w:tcPr>
            <w:tcW w:w="2952" w:type="pct"/>
            <w:shd w:val="clear" w:color="auto" w:fill="E7E6E6" w:themeFill="background2"/>
            <w:vAlign w:val="center"/>
          </w:tcPr>
          <w:p w14:paraId="11105277"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3A3857A7"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Această traversare este esențială pentru asigurarea accesului auto și pentru conexiunile intermodale. Modernizarea va permite o circulație mai sigură și eficientă a persoanelor și bunurilor, conform obiectivelor de dezvoltare teritorială durabilă din planul de mobilitate.</w:t>
            </w:r>
          </w:p>
        </w:tc>
      </w:tr>
      <w:tr w:rsidR="005E3F92" w:rsidRPr="007D3D4F" w14:paraId="21E5D012" w14:textId="77777777" w:rsidTr="00E86ADB">
        <w:trPr>
          <w:jc w:val="center"/>
        </w:trPr>
        <w:tc>
          <w:tcPr>
            <w:tcW w:w="0" w:type="auto"/>
            <w:shd w:val="clear" w:color="auto" w:fill="E7E6E6" w:themeFill="background2"/>
            <w:vAlign w:val="center"/>
          </w:tcPr>
          <w:p w14:paraId="4D4F6AC5"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7ABFEE8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și extinderea infrastructurii de transfer auto peste brațul Sf. Gheorghe între localitățile Mahmudia și Băltenii de Jos</w:t>
            </w:r>
          </w:p>
        </w:tc>
        <w:tc>
          <w:tcPr>
            <w:tcW w:w="624" w:type="pct"/>
            <w:shd w:val="clear" w:color="auto" w:fill="E7E6E6" w:themeFill="background2"/>
            <w:vAlign w:val="center"/>
          </w:tcPr>
          <w:p w14:paraId="302E2DD3" w14:textId="16EC2BEA"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Mahmudia</w:t>
            </w:r>
          </w:p>
        </w:tc>
        <w:tc>
          <w:tcPr>
            <w:tcW w:w="2952" w:type="pct"/>
            <w:shd w:val="clear" w:color="auto" w:fill="E7E6E6" w:themeFill="background2"/>
            <w:vAlign w:val="center"/>
          </w:tcPr>
          <w:p w14:paraId="76A0B278"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0DEB95FD"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Similar cu proiectul anterior, această investiție urmărește îmbunătățirea conectivității locale, asigurând transferul rapid de persoane și mărfuri și reducând izolarea geografică a comunităților.</w:t>
            </w:r>
          </w:p>
        </w:tc>
      </w:tr>
      <w:tr w:rsidR="005E3F92" w:rsidRPr="007D3D4F" w14:paraId="6A83345D" w14:textId="77777777" w:rsidTr="00E86ADB">
        <w:trPr>
          <w:jc w:val="center"/>
        </w:trPr>
        <w:tc>
          <w:tcPr>
            <w:tcW w:w="0" w:type="auto"/>
            <w:shd w:val="clear" w:color="auto" w:fill="E7E6E6" w:themeFill="background2"/>
            <w:vAlign w:val="center"/>
          </w:tcPr>
          <w:p w14:paraId="086C0F1F"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348CBDCD"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 unor dane de încărcare descărcare produse și mărfuri generale transportate din Tulcea și Nufăru</w:t>
            </w:r>
          </w:p>
        </w:tc>
        <w:tc>
          <w:tcPr>
            <w:tcW w:w="624" w:type="pct"/>
            <w:shd w:val="clear" w:color="auto" w:fill="E7E6E6" w:themeFill="background2"/>
            <w:vAlign w:val="center"/>
          </w:tcPr>
          <w:p w14:paraId="165A3B64" w14:textId="039BB3C4"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Maliuc</w:t>
            </w:r>
          </w:p>
        </w:tc>
        <w:tc>
          <w:tcPr>
            <w:tcW w:w="2952" w:type="pct"/>
            <w:shd w:val="clear" w:color="auto" w:fill="E7E6E6" w:themeFill="background2"/>
            <w:vAlign w:val="center"/>
          </w:tcPr>
          <w:p w14:paraId="1EA51D9B"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3F6D989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Maliuc, situat în centrul Deltei, reprezintă un punct de distribuție important pentru rutele din amonte și aval. Înființarea danelor va facilita aprovizionarea constantă a zonei centrale a Deltei, susținând astfel continuitatea serviciilor comerciale și publice.</w:t>
            </w:r>
          </w:p>
        </w:tc>
      </w:tr>
      <w:tr w:rsidR="005E3F92" w:rsidRPr="007D3D4F" w14:paraId="27B09737" w14:textId="77777777" w:rsidTr="00E86ADB">
        <w:trPr>
          <w:jc w:val="center"/>
        </w:trPr>
        <w:tc>
          <w:tcPr>
            <w:tcW w:w="0" w:type="auto"/>
            <w:shd w:val="clear" w:color="auto" w:fill="E7E6E6" w:themeFill="background2"/>
            <w:vAlign w:val="center"/>
          </w:tcPr>
          <w:p w14:paraId="467CC261"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3B39E0F9"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Achiziționarea de autovehicule pentru transportul rutier care să deservească ruta Gorgova-Ilganii de Jos, inclusiv echipamente necesare încărcării acumulatorilor auto pentru aceste autovehicule -  2 autovehicule</w:t>
            </w:r>
          </w:p>
        </w:tc>
        <w:tc>
          <w:tcPr>
            <w:tcW w:w="624" w:type="pct"/>
            <w:shd w:val="clear" w:color="auto" w:fill="E7E6E6" w:themeFill="background2"/>
            <w:vAlign w:val="center"/>
          </w:tcPr>
          <w:p w14:paraId="36789337" w14:textId="0BE40C82"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Maliuc</w:t>
            </w:r>
          </w:p>
        </w:tc>
        <w:tc>
          <w:tcPr>
            <w:tcW w:w="2952" w:type="pct"/>
            <w:shd w:val="clear" w:color="auto" w:fill="E7E6E6" w:themeFill="background2"/>
            <w:vAlign w:val="center"/>
          </w:tcPr>
          <w:p w14:paraId="4AB467E4"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0602778A"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asigură conectivitatea locală între două puncte importante din Delta Dunării, facilitând transferul pasagerilor către rețeaua de transport naval. Este inclus în Scenariul 2 din Planul de Mobilitate Navală al Deltei Dunării, care propune dezvoltarea rutelor complementare pentru integrarea transportului intermodal. Utilizarea autovehiculelor electrice sprijină mobilitatea durabilă în zone cu sensibilitate ecologică.</w:t>
            </w:r>
          </w:p>
        </w:tc>
      </w:tr>
      <w:tr w:rsidR="005E3F92" w:rsidRPr="007D3D4F" w14:paraId="1A87085D" w14:textId="77777777" w:rsidTr="00E86ADB">
        <w:trPr>
          <w:jc w:val="center"/>
        </w:trPr>
        <w:tc>
          <w:tcPr>
            <w:tcW w:w="0" w:type="auto"/>
            <w:shd w:val="clear" w:color="auto" w:fill="E7E6E6" w:themeFill="background2"/>
            <w:vAlign w:val="center"/>
          </w:tcPr>
          <w:p w14:paraId="3CA5E7A8"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43B4E73B" w14:textId="20F793A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drumului comunal DC 2, Ilganii de Jos – Partizani – Gorgova</w:t>
            </w:r>
            <w:r w:rsidR="00221EC8">
              <w:rPr>
                <w:rFonts w:ascii="Times New Roman" w:hAnsi="Times New Roman" w:cs="Times New Roman"/>
                <w:color w:val="auto"/>
                <w:sz w:val="20"/>
                <w:szCs w:val="20"/>
              </w:rPr>
              <w:t xml:space="preserve"> – Crisan - Sulina</w:t>
            </w:r>
            <w:r w:rsidRPr="007D3D4F">
              <w:rPr>
                <w:rFonts w:ascii="Times New Roman" w:hAnsi="Times New Roman" w:cs="Times New Roman"/>
                <w:color w:val="auto"/>
                <w:sz w:val="20"/>
                <w:szCs w:val="20"/>
              </w:rPr>
              <w:t>, l=</w:t>
            </w:r>
            <w:r w:rsidR="00221EC8">
              <w:rPr>
                <w:rFonts w:ascii="Times New Roman" w:hAnsi="Times New Roman" w:cs="Times New Roman"/>
                <w:color w:val="auto"/>
                <w:sz w:val="20"/>
                <w:szCs w:val="20"/>
              </w:rPr>
              <w:t>65</w:t>
            </w:r>
            <w:r w:rsidRPr="007D3D4F">
              <w:rPr>
                <w:rFonts w:ascii="Times New Roman" w:hAnsi="Times New Roman" w:cs="Times New Roman"/>
                <w:color w:val="auto"/>
                <w:sz w:val="20"/>
                <w:szCs w:val="20"/>
              </w:rPr>
              <w:t xml:space="preserve"> km</w:t>
            </w:r>
          </w:p>
        </w:tc>
        <w:tc>
          <w:tcPr>
            <w:tcW w:w="624" w:type="pct"/>
            <w:shd w:val="clear" w:color="auto" w:fill="E7E6E6" w:themeFill="background2"/>
            <w:vAlign w:val="center"/>
          </w:tcPr>
          <w:p w14:paraId="0E179C0D" w14:textId="66368ECC"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Maliuc</w:t>
            </w:r>
          </w:p>
        </w:tc>
        <w:tc>
          <w:tcPr>
            <w:tcW w:w="2952" w:type="pct"/>
            <w:shd w:val="clear" w:color="auto" w:fill="E7E6E6" w:themeFill="background2"/>
            <w:vAlign w:val="center"/>
          </w:tcPr>
          <w:p w14:paraId="3ACA5B7D"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0024B02B"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Ruta deservește localități izolate și susține mobilitatea locală în zona centrală a Deltei, facilitând accesul către puncte de transfer naval. Este inclusă în rețeaua secundară de conectivitate prevăzută în planul de mobilitate.</w:t>
            </w:r>
          </w:p>
        </w:tc>
      </w:tr>
      <w:tr w:rsidR="005E3F92" w:rsidRPr="007D3D4F" w14:paraId="022A327D" w14:textId="77777777" w:rsidTr="00E86ADB">
        <w:trPr>
          <w:jc w:val="center"/>
        </w:trPr>
        <w:tc>
          <w:tcPr>
            <w:tcW w:w="0" w:type="auto"/>
            <w:shd w:val="clear" w:color="auto" w:fill="E7E6E6" w:themeFill="background2"/>
            <w:vAlign w:val="center"/>
          </w:tcPr>
          <w:p w14:paraId="495887BE"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645C4F75"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 unor dane de încărcare descărcare produse și mărfuri generale transportate din Tulcea și Nufăru</w:t>
            </w:r>
          </w:p>
        </w:tc>
        <w:tc>
          <w:tcPr>
            <w:tcW w:w="624" w:type="pct"/>
            <w:shd w:val="clear" w:color="auto" w:fill="E7E6E6" w:themeFill="background2"/>
            <w:vAlign w:val="center"/>
          </w:tcPr>
          <w:p w14:paraId="446119D7" w14:textId="6A69E090"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Sf. Gheorghe</w:t>
            </w:r>
          </w:p>
        </w:tc>
        <w:tc>
          <w:tcPr>
            <w:tcW w:w="2952" w:type="pct"/>
            <w:shd w:val="clear" w:color="auto" w:fill="E7E6E6" w:themeFill="background2"/>
            <w:vAlign w:val="center"/>
          </w:tcPr>
          <w:p w14:paraId="5C291AE1"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2FF91869"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Sfântu Gheorghe este o localitate de interes strategic pentru turism și pescuit. Dană specializată pentru mărfuri susține aprovizionarea regulată și contribuie la dezvoltarea economică a zonei, în corelare cu fluxurile sezoniere și nevoile comunității.</w:t>
            </w:r>
          </w:p>
        </w:tc>
      </w:tr>
      <w:tr w:rsidR="005E3F92" w:rsidRPr="007D3D4F" w14:paraId="17021B6C" w14:textId="77777777" w:rsidTr="00E86ADB">
        <w:trPr>
          <w:jc w:val="center"/>
        </w:trPr>
        <w:tc>
          <w:tcPr>
            <w:tcW w:w="0" w:type="auto"/>
            <w:shd w:val="clear" w:color="auto" w:fill="E7E6E6" w:themeFill="background2"/>
            <w:vAlign w:val="center"/>
          </w:tcPr>
          <w:p w14:paraId="27DF9DAF"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48B105DD"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 și extindere port Sfântu Gheorghe</w:t>
            </w:r>
          </w:p>
        </w:tc>
        <w:tc>
          <w:tcPr>
            <w:tcW w:w="624" w:type="pct"/>
            <w:shd w:val="clear" w:color="auto" w:fill="E7E6E6" w:themeFill="background2"/>
            <w:vAlign w:val="center"/>
          </w:tcPr>
          <w:p w14:paraId="4A3ABE1C" w14:textId="6B49B5C0"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Sf. Gheorghe</w:t>
            </w:r>
          </w:p>
        </w:tc>
        <w:tc>
          <w:tcPr>
            <w:tcW w:w="2952" w:type="pct"/>
            <w:shd w:val="clear" w:color="auto" w:fill="E7E6E6" w:themeFill="background2"/>
            <w:vAlign w:val="center"/>
          </w:tcPr>
          <w:p w14:paraId="4A9C154F"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60EA4912"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Portul deservește una dintre cele mai izolate și importante localități din punct de vedere turistic. Reabilitarea sa este o măsură prioritară pentru îmbunătățirea accesului, creșterea siguranței și susținerea dezvoltării economice locale.</w:t>
            </w:r>
          </w:p>
        </w:tc>
      </w:tr>
      <w:tr w:rsidR="005E3F92" w:rsidRPr="007D3D4F" w14:paraId="5CD997B6" w14:textId="77777777" w:rsidTr="00E86ADB">
        <w:trPr>
          <w:jc w:val="center"/>
        </w:trPr>
        <w:tc>
          <w:tcPr>
            <w:tcW w:w="0" w:type="auto"/>
            <w:shd w:val="clear" w:color="auto" w:fill="E7E6E6" w:themeFill="background2"/>
            <w:vAlign w:val="center"/>
          </w:tcPr>
          <w:p w14:paraId="46E2B695"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2833C63"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Reabilitarea drumului comunal DC 5 Sulina – km 30+000 – Sf. Gheorghe, l=32,8 km </w:t>
            </w:r>
          </w:p>
        </w:tc>
        <w:tc>
          <w:tcPr>
            <w:tcW w:w="624" w:type="pct"/>
            <w:shd w:val="clear" w:color="auto" w:fill="E7E6E6" w:themeFill="background2"/>
            <w:vAlign w:val="center"/>
          </w:tcPr>
          <w:p w14:paraId="7FB055A9" w14:textId="5CDD2A40"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Sf. Gheorghe</w:t>
            </w:r>
          </w:p>
        </w:tc>
        <w:tc>
          <w:tcPr>
            <w:tcW w:w="2952" w:type="pct"/>
            <w:shd w:val="clear" w:color="auto" w:fill="E7E6E6" w:themeFill="background2"/>
            <w:vAlign w:val="center"/>
          </w:tcPr>
          <w:p w14:paraId="2AD34157"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057E6446"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Traseu esențial pentru conectivitatea sudică a Deltei. În prezent, este una dintre puținele căi terestre de acces între două localități izolate. Proiectul este justificat prin nevoia de acces permanent și de sprijin pentru serviciile publice.</w:t>
            </w:r>
          </w:p>
        </w:tc>
      </w:tr>
      <w:tr w:rsidR="005E3F92" w:rsidRPr="007D3D4F" w14:paraId="12EDE9AC" w14:textId="77777777" w:rsidTr="00E86ADB">
        <w:trPr>
          <w:jc w:val="center"/>
        </w:trPr>
        <w:tc>
          <w:tcPr>
            <w:tcW w:w="0" w:type="auto"/>
            <w:shd w:val="clear" w:color="auto" w:fill="E7E6E6" w:themeFill="background2"/>
            <w:vAlign w:val="center"/>
          </w:tcPr>
          <w:p w14:paraId="229E097F"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23DF0197"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și extinderea infrastructurii de transfer auto peste Canalul Caraorman–intersecție Canal Litcov</w:t>
            </w:r>
          </w:p>
        </w:tc>
        <w:tc>
          <w:tcPr>
            <w:tcW w:w="624" w:type="pct"/>
            <w:shd w:val="clear" w:color="auto" w:fill="E7E6E6" w:themeFill="background2"/>
            <w:vAlign w:val="center"/>
          </w:tcPr>
          <w:p w14:paraId="3D4CB707" w14:textId="52683FB4"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Crișan</w:t>
            </w:r>
          </w:p>
        </w:tc>
        <w:tc>
          <w:tcPr>
            <w:tcW w:w="2952" w:type="pct"/>
            <w:shd w:val="clear" w:color="auto" w:fill="E7E6E6" w:themeFill="background2"/>
            <w:vAlign w:val="center"/>
          </w:tcPr>
          <w:p w14:paraId="431651B9"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4A49F94D"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susține conectivitatea între satele Crișan, Mila 23 și Caraorman, facilitând mobilitatea locală și asigurând continuitatea rețelelor logistice între brațele Deltei. Este inclus în strategia de dezvoltare echilibrată a Deltei, conform planului de mobilitate.</w:t>
            </w:r>
          </w:p>
        </w:tc>
      </w:tr>
      <w:tr w:rsidR="005E3F92" w:rsidRPr="007D3D4F" w14:paraId="5683174F" w14:textId="77777777" w:rsidTr="00E86ADB">
        <w:trPr>
          <w:jc w:val="center"/>
        </w:trPr>
        <w:tc>
          <w:tcPr>
            <w:tcW w:w="0" w:type="auto"/>
            <w:shd w:val="clear" w:color="auto" w:fill="E7E6E6" w:themeFill="background2"/>
            <w:vAlign w:val="center"/>
          </w:tcPr>
          <w:p w14:paraId="4C2A3823"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AB86997"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 unor dane de încărcare descărcare produse și mărfuri generale în Tulcea  (Mila 23, Crișan, Caraorman) – 3 unități</w:t>
            </w:r>
          </w:p>
        </w:tc>
        <w:tc>
          <w:tcPr>
            <w:tcW w:w="624" w:type="pct"/>
            <w:shd w:val="clear" w:color="auto" w:fill="E7E6E6" w:themeFill="background2"/>
            <w:vAlign w:val="center"/>
          </w:tcPr>
          <w:p w14:paraId="5FB77549" w14:textId="0D3EA6FB"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Crișan</w:t>
            </w:r>
          </w:p>
        </w:tc>
        <w:tc>
          <w:tcPr>
            <w:tcW w:w="2952" w:type="pct"/>
            <w:shd w:val="clear" w:color="auto" w:fill="E7E6E6" w:themeFill="background2"/>
            <w:vAlign w:val="center"/>
          </w:tcPr>
          <w:p w14:paraId="1C1B4A89"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5E073B8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Localitățile vizate nu sunt conectate la rețele rutiere și depind în totalitate de transportul naval pentru aprovizionare. Proiectul este justificat de fluxurile constante de marfă și de vulnerabilitatea economică a acestor comunități.</w:t>
            </w:r>
          </w:p>
        </w:tc>
      </w:tr>
      <w:tr w:rsidR="005E3F92" w:rsidRPr="007D3D4F" w14:paraId="5C0F5366" w14:textId="77777777" w:rsidTr="00E86ADB">
        <w:trPr>
          <w:jc w:val="center"/>
        </w:trPr>
        <w:tc>
          <w:tcPr>
            <w:tcW w:w="0" w:type="auto"/>
            <w:shd w:val="clear" w:color="auto" w:fill="E7E6E6" w:themeFill="background2"/>
            <w:vAlign w:val="center"/>
          </w:tcPr>
          <w:p w14:paraId="7E22222A"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7E8597BF"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Achiziționarea de autovehicule pentru transportul rutier care să deservească ruta Mila 23 și Caraorman, inclusiv echipamente necesare încărcării acumulatorilor auto pentru aceste autovehicule – 2 autovehicule</w:t>
            </w:r>
          </w:p>
        </w:tc>
        <w:tc>
          <w:tcPr>
            <w:tcW w:w="624" w:type="pct"/>
            <w:shd w:val="clear" w:color="auto" w:fill="E7E6E6" w:themeFill="background2"/>
            <w:vAlign w:val="center"/>
          </w:tcPr>
          <w:p w14:paraId="661B6934" w14:textId="745C32F4"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Crișan</w:t>
            </w:r>
          </w:p>
        </w:tc>
        <w:tc>
          <w:tcPr>
            <w:tcW w:w="2952" w:type="pct"/>
            <w:shd w:val="clear" w:color="auto" w:fill="E7E6E6" w:themeFill="background2"/>
            <w:vAlign w:val="center"/>
          </w:tcPr>
          <w:p w14:paraId="449FE29B"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44C531AB"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asigură mobilitatea locală între două dintre cele mai izolate localități din Delta Dunării, sprijinind accesul la transportul naval principal și la servicii esențiale. Este prevăzut în Scenariul 2 din Planul de Mobilitate Navală al Deltei Dunării, care propune dezvoltarea rețelelor de transfer local. Autovehiculele electrice contribuie la reducerea impactului asupra mediului în zone strict protejate.</w:t>
            </w:r>
          </w:p>
        </w:tc>
      </w:tr>
      <w:tr w:rsidR="005E3F92" w:rsidRPr="007D3D4F" w14:paraId="483B6FE9" w14:textId="77777777" w:rsidTr="00E86ADB">
        <w:trPr>
          <w:jc w:val="center"/>
        </w:trPr>
        <w:tc>
          <w:tcPr>
            <w:tcW w:w="0" w:type="auto"/>
            <w:shd w:val="clear" w:color="auto" w:fill="E7E6E6" w:themeFill="background2"/>
            <w:vAlign w:val="center"/>
          </w:tcPr>
          <w:p w14:paraId="52FF4792"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26698BE0"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drumului comunal DC 7 Crișan – km 11+000 – Caraorman, l=12 km</w:t>
            </w:r>
          </w:p>
        </w:tc>
        <w:tc>
          <w:tcPr>
            <w:tcW w:w="624" w:type="pct"/>
            <w:shd w:val="clear" w:color="auto" w:fill="E7E6E6" w:themeFill="background2"/>
            <w:vAlign w:val="center"/>
          </w:tcPr>
          <w:p w14:paraId="3A27D011" w14:textId="10384089"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UAT</w:t>
            </w:r>
            <w:r>
              <w:rPr>
                <w:rFonts w:ascii="Times New Roman" w:hAnsi="Times New Roman" w:cs="Times New Roman"/>
                <w:color w:val="auto"/>
                <w:sz w:val="20"/>
                <w:szCs w:val="20"/>
              </w:rPr>
              <w:t xml:space="preserve"> Comuna</w:t>
            </w:r>
            <w:r w:rsidRPr="007D3D4F">
              <w:rPr>
                <w:rFonts w:ascii="Times New Roman" w:hAnsi="Times New Roman" w:cs="Times New Roman"/>
                <w:color w:val="auto"/>
                <w:sz w:val="20"/>
                <w:szCs w:val="20"/>
              </w:rPr>
              <w:t xml:space="preserve"> Crișan</w:t>
            </w:r>
          </w:p>
        </w:tc>
        <w:tc>
          <w:tcPr>
            <w:tcW w:w="2952" w:type="pct"/>
            <w:shd w:val="clear" w:color="auto" w:fill="E7E6E6" w:themeFill="background2"/>
            <w:vAlign w:val="center"/>
          </w:tcPr>
          <w:p w14:paraId="2465DECA"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7320B137" w14:textId="77777777" w:rsidR="005E3F92" w:rsidRPr="007D3D4F" w:rsidRDefault="005E3F92" w:rsidP="005E3F92">
            <w:pPr>
              <w:contextualSpacing/>
              <w:jc w:val="both"/>
              <w:rPr>
                <w:rFonts w:ascii="Times New Roman" w:eastAsiaTheme="majorEastAsia" w:hAnsi="Times New Roman" w:cs="Times New Roman"/>
                <w:sz w:val="20"/>
                <w:szCs w:val="20"/>
              </w:rPr>
            </w:pPr>
            <w:r w:rsidRPr="007D3D4F">
              <w:rPr>
                <w:rFonts w:ascii="Times New Roman" w:eastAsiaTheme="majorEastAsia" w:hAnsi="Times New Roman" w:cs="Times New Roman"/>
                <w:sz w:val="20"/>
                <w:szCs w:val="20"/>
              </w:rPr>
              <w:t>Legătură rutieră locală de interes crescut pentru turism și mobilitate intercomunitară. Asigură accesul către rețeaua de transport naval și facilitează conexiunile între satele Crișan și Caraorman.</w:t>
            </w:r>
          </w:p>
        </w:tc>
      </w:tr>
      <w:tr w:rsidR="005E3F92" w:rsidRPr="007D3D4F" w14:paraId="13532449" w14:textId="77777777" w:rsidTr="00E86ADB">
        <w:trPr>
          <w:jc w:val="center"/>
        </w:trPr>
        <w:tc>
          <w:tcPr>
            <w:tcW w:w="0" w:type="auto"/>
            <w:shd w:val="clear" w:color="auto" w:fill="E7E6E6" w:themeFill="background2"/>
            <w:vAlign w:val="center"/>
          </w:tcPr>
          <w:p w14:paraId="2B410AE6"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794BD771"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drumului comunal DC 8 Brațul Sulina – Crișan, l=7 km</w:t>
            </w:r>
          </w:p>
        </w:tc>
        <w:tc>
          <w:tcPr>
            <w:tcW w:w="624" w:type="pct"/>
            <w:shd w:val="clear" w:color="auto" w:fill="E7E6E6" w:themeFill="background2"/>
            <w:vAlign w:val="center"/>
          </w:tcPr>
          <w:p w14:paraId="6D950B99" w14:textId="69AB022B"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Crișan</w:t>
            </w:r>
          </w:p>
        </w:tc>
        <w:tc>
          <w:tcPr>
            <w:tcW w:w="2952" w:type="pct"/>
            <w:shd w:val="clear" w:color="auto" w:fill="E7E6E6" w:themeFill="background2"/>
            <w:vAlign w:val="center"/>
          </w:tcPr>
          <w:p w14:paraId="09EAEF09"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14E0E8E4" w14:textId="77777777" w:rsidR="005E3F92" w:rsidRPr="007D3D4F" w:rsidRDefault="005E3F92" w:rsidP="005E3F92">
            <w:pPr>
              <w:contextualSpacing/>
              <w:jc w:val="both"/>
              <w:rPr>
                <w:rFonts w:ascii="Times New Roman" w:eastAsiaTheme="majorEastAsia" w:hAnsi="Times New Roman" w:cs="Times New Roman"/>
                <w:sz w:val="20"/>
                <w:szCs w:val="20"/>
              </w:rPr>
            </w:pPr>
            <w:r w:rsidRPr="007D3D4F">
              <w:rPr>
                <w:rFonts w:ascii="Times New Roman" w:eastAsiaTheme="majorEastAsia" w:hAnsi="Times New Roman" w:cs="Times New Roman"/>
                <w:sz w:val="20"/>
                <w:szCs w:val="20"/>
              </w:rPr>
              <w:t>Traseu de acces între Crișan și infrastructura de transfer fluvial de pe Brațul Sulina. Este necesar pentru mobilitatea locală și asigurarea conectivității cu punctele de îmbarcare.</w:t>
            </w:r>
          </w:p>
        </w:tc>
      </w:tr>
      <w:tr w:rsidR="005E3F92" w:rsidRPr="007D3D4F" w14:paraId="37FF8219" w14:textId="77777777" w:rsidTr="00E86ADB">
        <w:trPr>
          <w:jc w:val="center"/>
        </w:trPr>
        <w:tc>
          <w:tcPr>
            <w:tcW w:w="0" w:type="auto"/>
            <w:shd w:val="clear" w:color="auto" w:fill="E7E6E6" w:themeFill="background2"/>
            <w:vAlign w:val="center"/>
          </w:tcPr>
          <w:p w14:paraId="77A3B37F"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5E2A0B11"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 drum comunal DC 8 Brațul Sulina – Crișan, l=9,2 km</w:t>
            </w:r>
          </w:p>
        </w:tc>
        <w:tc>
          <w:tcPr>
            <w:tcW w:w="624" w:type="pct"/>
            <w:shd w:val="clear" w:color="auto" w:fill="E7E6E6" w:themeFill="background2"/>
            <w:vAlign w:val="center"/>
          </w:tcPr>
          <w:p w14:paraId="0DF775CD" w14:textId="052F23F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Crișan</w:t>
            </w:r>
          </w:p>
        </w:tc>
        <w:tc>
          <w:tcPr>
            <w:tcW w:w="2952" w:type="pct"/>
            <w:shd w:val="clear" w:color="auto" w:fill="E7E6E6" w:themeFill="background2"/>
            <w:vAlign w:val="center"/>
          </w:tcPr>
          <w:p w14:paraId="696EFF27"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623F7885" w14:textId="77777777" w:rsidR="005E3F92" w:rsidRPr="007D3D4F" w:rsidRDefault="005E3F92" w:rsidP="005E3F92">
            <w:pPr>
              <w:contextualSpacing/>
              <w:jc w:val="both"/>
              <w:rPr>
                <w:rFonts w:ascii="Times New Roman" w:eastAsiaTheme="majorEastAsia" w:hAnsi="Times New Roman" w:cs="Times New Roman"/>
                <w:sz w:val="20"/>
                <w:szCs w:val="20"/>
              </w:rPr>
            </w:pPr>
            <w:r w:rsidRPr="007D3D4F">
              <w:rPr>
                <w:rFonts w:ascii="Times New Roman" w:eastAsiaTheme="majorEastAsia" w:hAnsi="Times New Roman" w:cs="Times New Roman"/>
                <w:sz w:val="20"/>
                <w:szCs w:val="20"/>
              </w:rPr>
              <w:t>Proiect nou care extinde accesul local către zone locuite sau cu potențial turistic, asigurând legătura între malul fluvial și centrul localității Crișan. Relevanța sa este susținută de lipsa alternativelor rutiere în zonă.</w:t>
            </w:r>
          </w:p>
        </w:tc>
      </w:tr>
      <w:tr w:rsidR="005E3F92" w:rsidRPr="007D3D4F" w14:paraId="30AA5C03" w14:textId="77777777" w:rsidTr="00E86ADB">
        <w:trPr>
          <w:jc w:val="center"/>
        </w:trPr>
        <w:tc>
          <w:tcPr>
            <w:tcW w:w="0" w:type="auto"/>
            <w:shd w:val="clear" w:color="auto" w:fill="E7E6E6" w:themeFill="background2"/>
            <w:vAlign w:val="center"/>
          </w:tcPr>
          <w:p w14:paraId="602ED59E"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7FC5F4BF"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Achiziționarea de autovehicule pentru transportul rutier care să deservească ruta Chilia-Tudor Vladimirescu, inclusiv echipamente </w:t>
            </w:r>
            <w:r w:rsidRPr="007D3D4F">
              <w:rPr>
                <w:rFonts w:ascii="Times New Roman" w:hAnsi="Times New Roman" w:cs="Times New Roman"/>
                <w:color w:val="auto"/>
                <w:sz w:val="20"/>
                <w:szCs w:val="20"/>
              </w:rPr>
              <w:lastRenderedPageBreak/>
              <w:t>necesare încărcării acumulatorilor auto pentru aceste autovehicule – 2 autovehicule</w:t>
            </w:r>
          </w:p>
        </w:tc>
        <w:tc>
          <w:tcPr>
            <w:tcW w:w="624" w:type="pct"/>
            <w:shd w:val="clear" w:color="auto" w:fill="E7E6E6" w:themeFill="background2"/>
            <w:vAlign w:val="center"/>
          </w:tcPr>
          <w:p w14:paraId="684B483C" w14:textId="577B6C32"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lastRenderedPageBreak/>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Chilia Veche</w:t>
            </w:r>
          </w:p>
        </w:tc>
        <w:tc>
          <w:tcPr>
            <w:tcW w:w="2952" w:type="pct"/>
            <w:shd w:val="clear" w:color="auto" w:fill="E7E6E6" w:themeFill="background2"/>
            <w:vAlign w:val="center"/>
          </w:tcPr>
          <w:p w14:paraId="2B1F0196"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5F8C9E86"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Proiectul asigură transferul pasagerilor între Chilia și punctul de traversare navală de la Tudor Vladimirescu, facilitând conexiunea cu municipiul Tulcea și rețeaua regională de transport. </w:t>
            </w:r>
            <w:r w:rsidRPr="007D3D4F">
              <w:rPr>
                <w:rFonts w:ascii="Times New Roman" w:hAnsi="Times New Roman" w:cs="Times New Roman"/>
                <w:color w:val="auto"/>
                <w:sz w:val="20"/>
                <w:szCs w:val="20"/>
              </w:rPr>
              <w:lastRenderedPageBreak/>
              <w:t>Este parte din Scenariul 2 al Planului de Mobilitate Navală, care vizează conectivitatea intermodală și utilizarea autovehiculelor nepoluante în zone sensibile.</w:t>
            </w:r>
          </w:p>
        </w:tc>
      </w:tr>
      <w:tr w:rsidR="005E3F92" w:rsidRPr="007D3D4F" w14:paraId="4A5568AE" w14:textId="77777777" w:rsidTr="00E86ADB">
        <w:trPr>
          <w:jc w:val="center"/>
        </w:trPr>
        <w:tc>
          <w:tcPr>
            <w:tcW w:w="0" w:type="auto"/>
            <w:shd w:val="clear" w:color="auto" w:fill="E7E6E6" w:themeFill="background2"/>
            <w:vAlign w:val="center"/>
          </w:tcPr>
          <w:p w14:paraId="1298B70F"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7B3775F"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 parcări în aria teritorială a comunei Chilia (2.000 locuri de parcare)</w:t>
            </w:r>
          </w:p>
        </w:tc>
        <w:tc>
          <w:tcPr>
            <w:tcW w:w="624" w:type="pct"/>
            <w:shd w:val="clear" w:color="auto" w:fill="E7E6E6" w:themeFill="background2"/>
            <w:vAlign w:val="center"/>
          </w:tcPr>
          <w:p w14:paraId="0AF71E7A" w14:textId="591EFC4B"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Chilia Veche</w:t>
            </w:r>
          </w:p>
        </w:tc>
        <w:tc>
          <w:tcPr>
            <w:tcW w:w="2952" w:type="pct"/>
            <w:shd w:val="clear" w:color="auto" w:fill="E7E6E6" w:themeFill="background2"/>
            <w:vAlign w:val="center"/>
          </w:tcPr>
          <w:p w14:paraId="4558F32E"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007602C8"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răspunde nevoii de gestiune eficientă a traficului rutier și naval, în contextul creșterii mobilității regionale și al fluxurilor turistice. Parcările susțin funcționarea nodului intermodal Chilia, identificat în plan ca punct logistic important pe rețeaua nordică a Deltei.</w:t>
            </w:r>
          </w:p>
        </w:tc>
      </w:tr>
      <w:tr w:rsidR="005E3F92" w:rsidRPr="007D3D4F" w14:paraId="47B1DE59" w14:textId="77777777" w:rsidTr="00E86ADB">
        <w:trPr>
          <w:jc w:val="center"/>
        </w:trPr>
        <w:tc>
          <w:tcPr>
            <w:tcW w:w="0" w:type="auto"/>
            <w:shd w:val="clear" w:color="auto" w:fill="E7E6E6" w:themeFill="background2"/>
            <w:vAlign w:val="center"/>
          </w:tcPr>
          <w:p w14:paraId="499DB3A1"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4200F351"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drumului comunal DC 15 Chilia (int. DJ 222N) - Periprava (int. DC 3) și transformarea acestuia în pista de biciclete, l=25.000 km</w:t>
            </w:r>
          </w:p>
        </w:tc>
        <w:tc>
          <w:tcPr>
            <w:tcW w:w="624" w:type="pct"/>
            <w:shd w:val="clear" w:color="auto" w:fill="E7E6E6" w:themeFill="background2"/>
            <w:vAlign w:val="center"/>
          </w:tcPr>
          <w:p w14:paraId="39833D5F" w14:textId="64C54736"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Chilia Veche</w:t>
            </w:r>
          </w:p>
        </w:tc>
        <w:tc>
          <w:tcPr>
            <w:tcW w:w="2952" w:type="pct"/>
            <w:shd w:val="clear" w:color="auto" w:fill="E7E6E6" w:themeFill="background2"/>
            <w:vAlign w:val="center"/>
          </w:tcPr>
          <w:p w14:paraId="7AD64245"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08B94C5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asigură conectivitatea între localitățile Chilia Veche și Periprava în zona nordică a Deltei Dunării, printr-o infrastructură prietenoasă cu mediul. Drumul, în prezent impracticabil, va fi transformat în pistă pentru biciclete și mopede electrice, sprijinind mobilitatea locală și promovarea turismului ecologic. Proiectul contribuie la obiectivele din Planul de Mobilitate Navală, care prevede dezvoltarea de rute alternative nepoluante în zone cu sensibilitate ecologică ridicată.</w:t>
            </w:r>
          </w:p>
        </w:tc>
      </w:tr>
      <w:tr w:rsidR="005E3F92" w:rsidRPr="007D3D4F" w14:paraId="11C24E4C" w14:textId="77777777" w:rsidTr="00E86ADB">
        <w:trPr>
          <w:jc w:val="center"/>
        </w:trPr>
        <w:tc>
          <w:tcPr>
            <w:tcW w:w="0" w:type="auto"/>
            <w:shd w:val="clear" w:color="auto" w:fill="E7E6E6" w:themeFill="background2"/>
            <w:vAlign w:val="center"/>
          </w:tcPr>
          <w:p w14:paraId="0DABE024"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5C27675"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Înființare parcări în aria teritorială a comunei Murighiol (3.000 locuri de parcare, inclusiv parcare de tip RO-RO)</w:t>
            </w:r>
          </w:p>
        </w:tc>
        <w:tc>
          <w:tcPr>
            <w:tcW w:w="624" w:type="pct"/>
            <w:shd w:val="clear" w:color="auto" w:fill="E7E6E6" w:themeFill="background2"/>
            <w:vAlign w:val="center"/>
          </w:tcPr>
          <w:p w14:paraId="604734E1" w14:textId="4F81301E"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Murighiol</w:t>
            </w:r>
          </w:p>
        </w:tc>
        <w:tc>
          <w:tcPr>
            <w:tcW w:w="2952" w:type="pct"/>
            <w:shd w:val="clear" w:color="auto" w:fill="E7E6E6" w:themeFill="background2"/>
            <w:vAlign w:val="center"/>
          </w:tcPr>
          <w:p w14:paraId="26C4756E"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59D9C0B2"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Murighiol este una dintre principalele porți de acces rutier spre Delta Dunării. Proiectul are ca scop crearea unei infrastructuri de tip park &amp; ride și RO-RO, pentru transferul eficient al pasagerilor și autovehiculelor către rețeaua de transport naval. Este aliniat cu măsurile prevăzute în Planul de Mobilitate Navală privind dezvoltarea nodurilor intermodale și reducerea presiunii rutiere asupra ecosistemului deltaic.</w:t>
            </w:r>
          </w:p>
        </w:tc>
      </w:tr>
      <w:tr w:rsidR="005E3F92" w:rsidRPr="007D3D4F" w14:paraId="2E8AAAC7" w14:textId="77777777" w:rsidTr="00E86ADB">
        <w:trPr>
          <w:jc w:val="center"/>
        </w:trPr>
        <w:tc>
          <w:tcPr>
            <w:tcW w:w="0" w:type="auto"/>
            <w:shd w:val="clear" w:color="auto" w:fill="E7E6E6" w:themeFill="background2"/>
            <w:vAlign w:val="center"/>
          </w:tcPr>
          <w:p w14:paraId="66428715"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214529CA" w14:textId="4D5F787B"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drumului comunal DC 2, S</w:t>
            </w:r>
            <w:r w:rsidR="0033496D">
              <w:rPr>
                <w:rFonts w:ascii="Times New Roman" w:hAnsi="Times New Roman" w:cs="Times New Roman"/>
                <w:color w:val="auto"/>
                <w:sz w:val="20"/>
                <w:szCs w:val="20"/>
              </w:rPr>
              <w:t>u</w:t>
            </w:r>
            <w:r w:rsidRPr="007D3D4F">
              <w:rPr>
                <w:rFonts w:ascii="Times New Roman" w:hAnsi="Times New Roman" w:cs="Times New Roman"/>
                <w:color w:val="auto"/>
                <w:sz w:val="20"/>
                <w:szCs w:val="20"/>
              </w:rPr>
              <w:t>lina – C.A. Rosetti, l=18 km</w:t>
            </w:r>
          </w:p>
        </w:tc>
        <w:tc>
          <w:tcPr>
            <w:tcW w:w="624" w:type="pct"/>
            <w:shd w:val="clear" w:color="auto" w:fill="E7E6E6" w:themeFill="background2"/>
            <w:vAlign w:val="center"/>
          </w:tcPr>
          <w:p w14:paraId="7560F934" w14:textId="20E346A5"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C.A. Rosetti</w:t>
            </w:r>
          </w:p>
        </w:tc>
        <w:tc>
          <w:tcPr>
            <w:tcW w:w="2952" w:type="pct"/>
            <w:shd w:val="clear" w:color="auto" w:fill="E7E6E6" w:themeFill="background2"/>
            <w:vAlign w:val="center"/>
          </w:tcPr>
          <w:p w14:paraId="24454364"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103724C7" w14:textId="77777777" w:rsidR="005E3F92" w:rsidRPr="007D3D4F" w:rsidRDefault="005E3F92" w:rsidP="005E3F92">
            <w:pPr>
              <w:contextualSpacing/>
              <w:jc w:val="both"/>
              <w:rPr>
                <w:rFonts w:ascii="Times New Roman" w:eastAsiaTheme="majorEastAsia" w:hAnsi="Times New Roman" w:cs="Times New Roman"/>
                <w:sz w:val="20"/>
                <w:szCs w:val="20"/>
              </w:rPr>
            </w:pPr>
            <w:r w:rsidRPr="007D3D4F">
              <w:rPr>
                <w:rFonts w:ascii="Times New Roman" w:eastAsiaTheme="majorEastAsia" w:hAnsi="Times New Roman" w:cs="Times New Roman"/>
                <w:sz w:val="20"/>
                <w:szCs w:val="20"/>
              </w:rPr>
              <w:t>Traseu important pentru conectivitatea internă în sud-estul Deltei, susține aprovizionarea și circulația locală într-o zonă fără acces direct la drumuri județene sau naționale.</w:t>
            </w:r>
          </w:p>
        </w:tc>
      </w:tr>
      <w:tr w:rsidR="005E3F92" w:rsidRPr="007D3D4F" w14:paraId="57113F49" w14:textId="77777777" w:rsidTr="00E86ADB">
        <w:trPr>
          <w:jc w:val="center"/>
        </w:trPr>
        <w:tc>
          <w:tcPr>
            <w:tcW w:w="0" w:type="auto"/>
            <w:shd w:val="clear" w:color="auto" w:fill="E7E6E6" w:themeFill="background2"/>
            <w:vAlign w:val="center"/>
          </w:tcPr>
          <w:p w14:paraId="18C66EE2"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F989EBC"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drumului comunal DC 3 C.A. Rosetti (int. DC 2) – Periprava (int. DC 15), l=15 km</w:t>
            </w:r>
          </w:p>
        </w:tc>
        <w:tc>
          <w:tcPr>
            <w:tcW w:w="624" w:type="pct"/>
            <w:shd w:val="clear" w:color="auto" w:fill="E7E6E6" w:themeFill="background2"/>
            <w:vAlign w:val="center"/>
          </w:tcPr>
          <w:p w14:paraId="6D0E4279" w14:textId="5E849836"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C.A. Rosetti</w:t>
            </w:r>
          </w:p>
        </w:tc>
        <w:tc>
          <w:tcPr>
            <w:tcW w:w="2952" w:type="pct"/>
            <w:shd w:val="clear" w:color="auto" w:fill="E7E6E6" w:themeFill="background2"/>
            <w:vAlign w:val="center"/>
          </w:tcPr>
          <w:p w14:paraId="5719144A"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782C504B"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Asigură legătura rutieră între două localități importante din zona de frontieră. Sprijină mobilitatea comunităților locale și este esențial pentru transferuri intermodale și intervenții rapide.</w:t>
            </w:r>
          </w:p>
        </w:tc>
      </w:tr>
      <w:tr w:rsidR="005E3F92" w:rsidRPr="007D3D4F" w14:paraId="4EAAB12C" w14:textId="77777777" w:rsidTr="00E86ADB">
        <w:trPr>
          <w:jc w:val="center"/>
        </w:trPr>
        <w:tc>
          <w:tcPr>
            <w:tcW w:w="0" w:type="auto"/>
            <w:shd w:val="clear" w:color="auto" w:fill="E7E6E6" w:themeFill="background2"/>
            <w:vAlign w:val="center"/>
          </w:tcPr>
          <w:p w14:paraId="4BB5BF0B"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66ED593"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Reabilitarea drumului comunal DC 4 C.A. Rosetti (int. DC 2) – Estuar, l=7 km</w:t>
            </w:r>
          </w:p>
        </w:tc>
        <w:tc>
          <w:tcPr>
            <w:tcW w:w="624" w:type="pct"/>
            <w:shd w:val="clear" w:color="auto" w:fill="E7E6E6" w:themeFill="background2"/>
            <w:vAlign w:val="center"/>
          </w:tcPr>
          <w:p w14:paraId="3504344E" w14:textId="133D17DD"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 xml:space="preserve">UAT </w:t>
            </w:r>
            <w:r>
              <w:rPr>
                <w:rFonts w:ascii="Times New Roman" w:hAnsi="Times New Roman" w:cs="Times New Roman"/>
                <w:color w:val="auto"/>
                <w:sz w:val="20"/>
                <w:szCs w:val="20"/>
              </w:rPr>
              <w:t>Comuna</w:t>
            </w:r>
            <w:r w:rsidRPr="007D3D4F">
              <w:rPr>
                <w:rFonts w:ascii="Times New Roman" w:hAnsi="Times New Roman" w:cs="Times New Roman"/>
                <w:color w:val="auto"/>
                <w:sz w:val="20"/>
                <w:szCs w:val="20"/>
              </w:rPr>
              <w:t xml:space="preserve"> C.A. Rosetti</w:t>
            </w:r>
          </w:p>
        </w:tc>
        <w:tc>
          <w:tcPr>
            <w:tcW w:w="2952" w:type="pct"/>
            <w:shd w:val="clear" w:color="auto" w:fill="E7E6E6" w:themeFill="background2"/>
            <w:vAlign w:val="center"/>
          </w:tcPr>
          <w:p w14:paraId="7D576E3F"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Planul de mobilitate navală Delta Dunării</w:t>
            </w:r>
          </w:p>
          <w:p w14:paraId="1E2D65E4" w14:textId="77777777" w:rsidR="005E3F92" w:rsidRPr="007D3D4F" w:rsidRDefault="005E3F92" w:rsidP="005E3F92">
            <w:pPr>
              <w:contextualSpacing/>
              <w:jc w:val="both"/>
              <w:rPr>
                <w:rFonts w:ascii="Times New Roman" w:eastAsiaTheme="majorEastAsia" w:hAnsi="Times New Roman" w:cs="Times New Roman"/>
                <w:sz w:val="20"/>
                <w:szCs w:val="20"/>
              </w:rPr>
            </w:pPr>
            <w:r w:rsidRPr="007D3D4F">
              <w:rPr>
                <w:rFonts w:ascii="Times New Roman" w:eastAsiaTheme="majorEastAsia" w:hAnsi="Times New Roman" w:cs="Times New Roman"/>
                <w:sz w:val="20"/>
                <w:szCs w:val="20"/>
              </w:rPr>
              <w:t>Legătură rutieră de importanță locală către Estuar, contribuind la accesibilitatea unei zone izolate, conform principiilor de coeziune teritorială propuse în plan.</w:t>
            </w:r>
          </w:p>
        </w:tc>
      </w:tr>
      <w:tr w:rsidR="005E3F92" w:rsidRPr="007D3D4F" w14:paraId="13E0DE67" w14:textId="77777777" w:rsidTr="00E86ADB">
        <w:trPr>
          <w:jc w:val="center"/>
        </w:trPr>
        <w:tc>
          <w:tcPr>
            <w:tcW w:w="0" w:type="auto"/>
            <w:shd w:val="clear" w:color="auto" w:fill="E7E6E6" w:themeFill="background2"/>
            <w:vAlign w:val="center"/>
          </w:tcPr>
          <w:p w14:paraId="055BBA8E"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2B109DB3"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sistemului de iluminat prin trecerea la LED, până în 2026 (valoare estimată: 4.950 mii lei)</w:t>
            </w:r>
          </w:p>
        </w:tc>
        <w:tc>
          <w:tcPr>
            <w:tcW w:w="624" w:type="pct"/>
            <w:shd w:val="clear" w:color="auto" w:fill="E7E6E6" w:themeFill="background2"/>
            <w:vAlign w:val="center"/>
          </w:tcPr>
          <w:p w14:paraId="377E93C6"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Aeroportul Tulcea – Aeroportul Delta Dunarii</w:t>
            </w:r>
          </w:p>
        </w:tc>
        <w:tc>
          <w:tcPr>
            <w:tcW w:w="2952" w:type="pct"/>
            <w:shd w:val="clear" w:color="auto" w:fill="E7E6E6" w:themeFill="background2"/>
            <w:vAlign w:val="center"/>
          </w:tcPr>
          <w:p w14:paraId="0DF7F22B"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Integrată de Dezvoltare Durabilă a Deltei Dunării</w:t>
            </w:r>
          </w:p>
          <w:p w14:paraId="7C1209EC"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de dezvoltare a Aeroportului Internațional Delta Dunării este prevăzut în Strategia Integrată de Dezvoltare Durabilă a Deltei Dunării, ca parte a Intervenției I.85 – Proiect 51, cu finanțare propusă prin POIM – Axa Prioritară 2.</w:t>
            </w:r>
          </w:p>
          <w:p w14:paraId="5B13ACAD" w14:textId="77777777" w:rsidR="005E3F92" w:rsidRPr="007D3D4F" w:rsidRDefault="005E3F92" w:rsidP="00D81598">
            <w:pPr>
              <w:pStyle w:val="Smn"/>
              <w:numPr>
                <w:ilvl w:val="0"/>
                <w:numId w:val="32"/>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lastRenderedPageBreak/>
              <w:t>Modernizarea infrastructurii aeroportuare este esențială pentru:</w:t>
            </w:r>
          </w:p>
          <w:p w14:paraId="1CD45220" w14:textId="77777777" w:rsidR="005E3F92" w:rsidRPr="007D3D4F" w:rsidRDefault="005E3F92" w:rsidP="00D81598">
            <w:pPr>
              <w:pStyle w:val="Smn"/>
              <w:numPr>
                <w:ilvl w:val="0"/>
                <w:numId w:val="32"/>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Creșterea capacității de transport aerian de pasageri și marfă, în special a produselor perisabile;</w:t>
            </w:r>
          </w:p>
          <w:p w14:paraId="185F50F9" w14:textId="77777777" w:rsidR="005E3F92" w:rsidRPr="007D3D4F" w:rsidRDefault="005E3F92" w:rsidP="00D81598">
            <w:pPr>
              <w:pStyle w:val="Smn"/>
              <w:numPr>
                <w:ilvl w:val="0"/>
                <w:numId w:val="32"/>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Sprijinirea industriei turismului și a croazierelor fluviale pe Dunăre, prin atragerea de operatori aerieni și dezvoltarea serviciilor charter;</w:t>
            </w:r>
          </w:p>
          <w:p w14:paraId="1BB20E8A" w14:textId="77777777" w:rsidR="005E3F92" w:rsidRPr="007D3D4F" w:rsidRDefault="005E3F92" w:rsidP="00D81598">
            <w:pPr>
              <w:pStyle w:val="Smn"/>
              <w:numPr>
                <w:ilvl w:val="0"/>
                <w:numId w:val="32"/>
              </w:numPr>
              <w:spacing w:before="0" w:after="0"/>
              <w:contextualSpacing/>
              <w:rPr>
                <w:rFonts w:ascii="Times New Roman" w:hAnsi="Times New Roman" w:cs="Times New Roman"/>
                <w:b/>
                <w:bCs/>
                <w:color w:val="auto"/>
                <w:sz w:val="20"/>
                <w:szCs w:val="20"/>
              </w:rPr>
            </w:pPr>
            <w:r w:rsidRPr="007D3D4F">
              <w:rPr>
                <w:rFonts w:ascii="Times New Roman" w:hAnsi="Times New Roman" w:cs="Times New Roman"/>
                <w:color w:val="auto"/>
                <w:sz w:val="20"/>
                <w:szCs w:val="20"/>
              </w:rPr>
              <w:t>Integrarea logistică a aeroportului în rețeaua de transport multimodal, în legătură cu portul Tulcea și rutele de transport public naval spre Delta Dunării.</w:t>
            </w:r>
          </w:p>
          <w:p w14:paraId="18E492CF"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Beneficii anticipate: creșterea fiabilității operaționale și reducerea consumului de energie cu până la 60%.</w:t>
            </w:r>
          </w:p>
        </w:tc>
      </w:tr>
      <w:tr w:rsidR="005E3F92" w:rsidRPr="007D3D4F" w14:paraId="03C504BF" w14:textId="77777777" w:rsidTr="00E86ADB">
        <w:trPr>
          <w:jc w:val="center"/>
        </w:trPr>
        <w:tc>
          <w:tcPr>
            <w:tcW w:w="0" w:type="auto"/>
            <w:shd w:val="clear" w:color="auto" w:fill="E7E6E6" w:themeFill="background2"/>
            <w:vAlign w:val="center"/>
          </w:tcPr>
          <w:p w14:paraId="34C0C8AC"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62DF2B40"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Achiziționarea de echipamente electrice pentru deservirea la sol a aeronavelor (valoare estimată: 39.600 mii lei)</w:t>
            </w:r>
          </w:p>
        </w:tc>
        <w:tc>
          <w:tcPr>
            <w:tcW w:w="624" w:type="pct"/>
            <w:shd w:val="clear" w:color="auto" w:fill="E7E6E6" w:themeFill="background2"/>
            <w:vAlign w:val="center"/>
          </w:tcPr>
          <w:p w14:paraId="268B1C01"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Aeroportul Tulcea – Aeroportul Delta Dunarii</w:t>
            </w:r>
          </w:p>
        </w:tc>
        <w:tc>
          <w:tcPr>
            <w:tcW w:w="2952" w:type="pct"/>
            <w:shd w:val="clear" w:color="auto" w:fill="E7E6E6" w:themeFill="background2"/>
            <w:vAlign w:val="center"/>
          </w:tcPr>
          <w:p w14:paraId="41BE1F77"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Integrată de Dezvoltare Durabilă a Deltei Dunării</w:t>
            </w:r>
          </w:p>
          <w:p w14:paraId="35C9EE8C"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de dezvoltare a Aeroportului Internațional Delta Dunării este prevăzut în Strategia Integrată de Dezvoltare Durabilă a Deltei Dunării, ca parte a Intervenției I.85 – Proiect 51, cu finanțare propusă prin POIM – Axa Prioritară 2.</w:t>
            </w:r>
          </w:p>
          <w:p w14:paraId="1ED1544B" w14:textId="77777777" w:rsidR="005E3F92" w:rsidRPr="007D3D4F" w:rsidRDefault="005E3F92" w:rsidP="00D81598">
            <w:pPr>
              <w:pStyle w:val="Smn"/>
              <w:numPr>
                <w:ilvl w:val="0"/>
                <w:numId w:val="32"/>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infrastructurii aeroportuare este esențială pentru:</w:t>
            </w:r>
          </w:p>
          <w:p w14:paraId="5F9B7625" w14:textId="77777777" w:rsidR="005E3F92" w:rsidRPr="007D3D4F" w:rsidRDefault="005E3F92" w:rsidP="00D81598">
            <w:pPr>
              <w:pStyle w:val="Smn"/>
              <w:numPr>
                <w:ilvl w:val="0"/>
                <w:numId w:val="32"/>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Creșterea capacității de transport aerian de pasageri și marfă, în special a produselor perisabile;</w:t>
            </w:r>
          </w:p>
          <w:p w14:paraId="6A104C6B" w14:textId="77777777" w:rsidR="005E3F92" w:rsidRPr="007D3D4F" w:rsidRDefault="005E3F92" w:rsidP="00D81598">
            <w:pPr>
              <w:pStyle w:val="Smn"/>
              <w:numPr>
                <w:ilvl w:val="0"/>
                <w:numId w:val="32"/>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Sprijinirea industriei turismului și a croazierelor fluviale pe Dunăre, prin atragerea de operatori aerieni și dezvoltarea serviciilor charter;</w:t>
            </w:r>
          </w:p>
          <w:p w14:paraId="0E50A30E" w14:textId="77777777" w:rsidR="005E3F92" w:rsidRPr="007D3D4F" w:rsidRDefault="005E3F92" w:rsidP="00D81598">
            <w:pPr>
              <w:pStyle w:val="Smn"/>
              <w:numPr>
                <w:ilvl w:val="0"/>
                <w:numId w:val="32"/>
              </w:numPr>
              <w:spacing w:before="0" w:after="0"/>
              <w:contextualSpacing/>
              <w:rPr>
                <w:rFonts w:ascii="Times New Roman" w:hAnsi="Times New Roman" w:cs="Times New Roman"/>
                <w:b/>
                <w:bCs/>
                <w:color w:val="auto"/>
                <w:sz w:val="20"/>
                <w:szCs w:val="20"/>
              </w:rPr>
            </w:pPr>
            <w:r w:rsidRPr="007D3D4F">
              <w:rPr>
                <w:rFonts w:ascii="Times New Roman" w:hAnsi="Times New Roman" w:cs="Times New Roman"/>
                <w:color w:val="auto"/>
                <w:sz w:val="20"/>
                <w:szCs w:val="20"/>
              </w:rPr>
              <w:t>Integrarea logistică a aeroportului în rețeaua de transport multimodal, în legătură cu portul Tulcea și rutele de transport public naval spre Delta Dunării.</w:t>
            </w:r>
          </w:p>
          <w:p w14:paraId="468BFF11" w14:textId="77777777" w:rsidR="005E3F92" w:rsidRPr="007D3D4F" w:rsidRDefault="005E3F92" w:rsidP="005E3F92">
            <w:pPr>
              <w:contextualSpacing/>
              <w:jc w:val="both"/>
              <w:rPr>
                <w:rFonts w:ascii="Times New Roman" w:eastAsiaTheme="majorEastAsia" w:hAnsi="Times New Roman" w:cs="Times New Roman"/>
                <w:b/>
                <w:bCs/>
                <w:sz w:val="20"/>
                <w:szCs w:val="20"/>
              </w:rPr>
            </w:pPr>
            <w:r w:rsidRPr="007D3D4F">
              <w:rPr>
                <w:rFonts w:ascii="Times New Roman" w:eastAsiaTheme="majorEastAsia" w:hAnsi="Times New Roman" w:cs="Times New Roman"/>
                <w:b/>
                <w:bCs/>
                <w:sz w:val="20"/>
                <w:szCs w:val="20"/>
              </w:rPr>
              <w:t>Beneficii anticipate: reducerea semnificativă a emisiilor de carbon, în conformitate cu Directiva (UE) 2023/2413 privind sustenabilitatea transportului aerian.</w:t>
            </w:r>
          </w:p>
        </w:tc>
      </w:tr>
      <w:tr w:rsidR="005E3F92" w:rsidRPr="007D3D4F" w14:paraId="7AB92CCC" w14:textId="77777777" w:rsidTr="00E86ADB">
        <w:trPr>
          <w:jc w:val="center"/>
        </w:trPr>
        <w:tc>
          <w:tcPr>
            <w:tcW w:w="0" w:type="auto"/>
            <w:shd w:val="clear" w:color="auto" w:fill="E7E6E6" w:themeFill="background2"/>
            <w:vAlign w:val="center"/>
          </w:tcPr>
          <w:p w14:paraId="3853D77F"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037F0140"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Construirea unui terminal cargo (însoțit de extinderea pistei de la 2.060 m la 2.500 m și achiziționarea de echipamente logistice)</w:t>
            </w:r>
          </w:p>
        </w:tc>
        <w:tc>
          <w:tcPr>
            <w:tcW w:w="624" w:type="pct"/>
            <w:shd w:val="clear" w:color="auto" w:fill="E7E6E6" w:themeFill="background2"/>
            <w:vAlign w:val="center"/>
          </w:tcPr>
          <w:p w14:paraId="3A5FAD1F"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Aeroportul Tulcea – Aeroportul Delta Dunarii</w:t>
            </w:r>
          </w:p>
        </w:tc>
        <w:tc>
          <w:tcPr>
            <w:tcW w:w="2952" w:type="pct"/>
            <w:shd w:val="clear" w:color="auto" w:fill="E7E6E6" w:themeFill="background2"/>
            <w:vAlign w:val="center"/>
          </w:tcPr>
          <w:p w14:paraId="038152EF"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Integrată de Dezvoltare Durabilă a Deltei Dunării</w:t>
            </w:r>
          </w:p>
          <w:p w14:paraId="1357580B"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de dezvoltare a Aeroportului Internațional Delta Dunării este prevăzut în Strategia Integrată de Dezvoltare Durabilă a Deltei Dunării, ca parte a Intervenției I.85 – Proiect 51, cu finanțare propusă prin POIM – Axa Prioritară 2.</w:t>
            </w:r>
          </w:p>
          <w:p w14:paraId="18D960D6" w14:textId="77777777" w:rsidR="005E3F92" w:rsidRPr="007D3D4F" w:rsidRDefault="005E3F92" w:rsidP="00D81598">
            <w:pPr>
              <w:pStyle w:val="Smn"/>
              <w:numPr>
                <w:ilvl w:val="0"/>
                <w:numId w:val="32"/>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infrastructurii aeroportuare este esențială pentru:</w:t>
            </w:r>
          </w:p>
          <w:p w14:paraId="6664A61D" w14:textId="77777777" w:rsidR="005E3F92" w:rsidRPr="007D3D4F" w:rsidRDefault="005E3F92" w:rsidP="00D81598">
            <w:pPr>
              <w:pStyle w:val="Smn"/>
              <w:numPr>
                <w:ilvl w:val="0"/>
                <w:numId w:val="32"/>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Creșterea capacității de transport aerian de pasageri și marfă, în special a produselor perisabile;</w:t>
            </w:r>
          </w:p>
          <w:p w14:paraId="3E45A577" w14:textId="77777777" w:rsidR="005E3F92" w:rsidRPr="007D3D4F" w:rsidRDefault="005E3F92" w:rsidP="00D81598">
            <w:pPr>
              <w:pStyle w:val="Smn"/>
              <w:numPr>
                <w:ilvl w:val="0"/>
                <w:numId w:val="32"/>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Sprijinirea industriei turismului și a croazierelor fluviale pe Dunăre, prin atragerea de operatori aerieni și dezvoltarea serviciilor charter;</w:t>
            </w:r>
          </w:p>
          <w:p w14:paraId="10E99489" w14:textId="77777777" w:rsidR="005E3F92" w:rsidRPr="007D3D4F" w:rsidRDefault="005E3F92" w:rsidP="00D81598">
            <w:pPr>
              <w:pStyle w:val="Smn"/>
              <w:numPr>
                <w:ilvl w:val="0"/>
                <w:numId w:val="32"/>
              </w:numPr>
              <w:spacing w:before="0" w:after="0"/>
              <w:contextualSpacing/>
              <w:rPr>
                <w:rFonts w:ascii="Times New Roman" w:hAnsi="Times New Roman" w:cs="Times New Roman"/>
                <w:b/>
                <w:bCs/>
                <w:color w:val="auto"/>
                <w:sz w:val="20"/>
                <w:szCs w:val="20"/>
              </w:rPr>
            </w:pPr>
            <w:r w:rsidRPr="007D3D4F">
              <w:rPr>
                <w:rFonts w:ascii="Times New Roman" w:hAnsi="Times New Roman" w:cs="Times New Roman"/>
                <w:color w:val="auto"/>
                <w:sz w:val="20"/>
                <w:szCs w:val="20"/>
              </w:rPr>
              <w:t>Integrarea logistică a aeroportului în rețeaua de transport multimodal, în legătură cu portul Tulcea și rutele de transport public naval spre Delta Dunării.</w:t>
            </w:r>
          </w:p>
          <w:p w14:paraId="6BF3F820"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lastRenderedPageBreak/>
              <w:t>Obiectiv: diversificarea serviciilor prin includerea transportului aerian de marfă, cu efect direct asupra comerțului regional.</w:t>
            </w:r>
          </w:p>
          <w:p w14:paraId="0982D1D9"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Acțiune în derulare: contractarea unui studiu de prefezabilitate în 2025 pentru stabilirea cerinței de investiție.</w:t>
            </w:r>
          </w:p>
        </w:tc>
      </w:tr>
      <w:tr w:rsidR="005E3F92" w:rsidRPr="007D3D4F" w14:paraId="60DF8172" w14:textId="77777777" w:rsidTr="00E86ADB">
        <w:trPr>
          <w:jc w:val="center"/>
        </w:trPr>
        <w:tc>
          <w:tcPr>
            <w:tcW w:w="0" w:type="auto"/>
            <w:shd w:val="clear" w:color="auto" w:fill="E7E6E6" w:themeFill="background2"/>
            <w:vAlign w:val="center"/>
          </w:tcPr>
          <w:p w14:paraId="2CF88C71"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5630881E"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căii ferate și a stațiilor de tren de pe ruta Tulcea - Medgidia</w:t>
            </w:r>
          </w:p>
        </w:tc>
        <w:tc>
          <w:tcPr>
            <w:tcW w:w="624" w:type="pct"/>
            <w:shd w:val="clear" w:color="auto" w:fill="E7E6E6" w:themeFill="background2"/>
            <w:vAlign w:val="center"/>
          </w:tcPr>
          <w:p w14:paraId="1EE2C22A" w14:textId="77777777"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7D3D4F">
              <w:rPr>
                <w:rFonts w:ascii="Times New Roman" w:hAnsi="Times New Roman" w:cs="Times New Roman"/>
                <w:color w:val="auto"/>
                <w:sz w:val="20"/>
                <w:szCs w:val="20"/>
              </w:rPr>
              <w:t>CFR Constanța</w:t>
            </w:r>
          </w:p>
        </w:tc>
        <w:tc>
          <w:tcPr>
            <w:tcW w:w="2952" w:type="pct"/>
            <w:shd w:val="clear" w:color="auto" w:fill="E7E6E6" w:themeFill="background2"/>
            <w:vAlign w:val="center"/>
          </w:tcPr>
          <w:p w14:paraId="7C3F81DF" w14:textId="77777777" w:rsidR="005E3F92" w:rsidRPr="007D3D4F" w:rsidRDefault="005E3F92" w:rsidP="005E3F92">
            <w:pPr>
              <w:pStyle w:val="Smn"/>
              <w:spacing w:before="0" w:after="0"/>
              <w:contextualSpacing/>
              <w:rPr>
                <w:rFonts w:ascii="Times New Roman" w:hAnsi="Times New Roman" w:cs="Times New Roman"/>
                <w:b/>
                <w:bCs/>
                <w:color w:val="auto"/>
                <w:sz w:val="20"/>
                <w:szCs w:val="20"/>
              </w:rPr>
            </w:pPr>
            <w:r w:rsidRPr="007D3D4F">
              <w:rPr>
                <w:rFonts w:ascii="Times New Roman" w:hAnsi="Times New Roman" w:cs="Times New Roman"/>
                <w:b/>
                <w:bCs/>
                <w:color w:val="auto"/>
                <w:sz w:val="20"/>
                <w:szCs w:val="20"/>
              </w:rPr>
              <w:t>Strategia de dezvoltare Durabilă a Județului Tulea</w:t>
            </w:r>
          </w:p>
          <w:p w14:paraId="2B664631"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Ruta feroviară Tulcea – Medgidia are un rol esențial în conectarea municipiului Tulcea și a Deltei Dunării la rețeaua națională și europeană de transport feroviar. În prezent, linia este subutilizată din cauza stării tehnice precare, a duratelor mari de parcurs și a frecvenței reduse a trenurilor. Modernizarea infrastructurii feroviare pe această rută este o măsură necesară și justificată din multiple perspective:</w:t>
            </w:r>
          </w:p>
          <w:p w14:paraId="0D9F9B26" w14:textId="77777777" w:rsidR="005E3F92" w:rsidRPr="007D3D4F" w:rsidRDefault="005E3F92" w:rsidP="00D81598">
            <w:pPr>
              <w:pStyle w:val="Smn"/>
              <w:numPr>
                <w:ilvl w:val="0"/>
                <w:numId w:val="35"/>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Linia Tulcea – Medgidia este parte a rețelei TEN-T extinse, iar modernizarea ei este conformă cu orientările europene privind transportul sustenabil și cu obiectivele naționale privind reducerea emisiilor din transport.</w:t>
            </w:r>
          </w:p>
          <w:p w14:paraId="3F0FB003" w14:textId="77777777" w:rsidR="005E3F92" w:rsidRPr="007D3D4F" w:rsidRDefault="005E3F92" w:rsidP="00D81598">
            <w:pPr>
              <w:pStyle w:val="Smn"/>
              <w:numPr>
                <w:ilvl w:val="0"/>
                <w:numId w:val="35"/>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asigură conectivitatea feroviară între portul Tulcea, aeroportul Delta Dunării și portul Constanța, sprijinind mobilitatea multimodală a mărfurilor și pasagerilor.</w:t>
            </w:r>
          </w:p>
          <w:p w14:paraId="57E02733" w14:textId="77777777" w:rsidR="005E3F92" w:rsidRPr="007D3D4F" w:rsidRDefault="005E3F92" w:rsidP="00D81598">
            <w:pPr>
              <w:pStyle w:val="Smn"/>
              <w:numPr>
                <w:ilvl w:val="0"/>
                <w:numId w:val="35"/>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liniei și a stațiilor va permite introducerea de trenuri de pasageri rapide și fiabile, sprijinind mobilitatea populației între Tulcea, Dobrogea și rețeaua națională.</w:t>
            </w:r>
          </w:p>
          <w:p w14:paraId="4D4CADA3" w14:textId="77777777" w:rsidR="005E3F92" w:rsidRPr="007D3D4F" w:rsidRDefault="005E3F92" w:rsidP="00D81598">
            <w:pPr>
              <w:pStyle w:val="Smn"/>
              <w:numPr>
                <w:ilvl w:val="0"/>
                <w:numId w:val="35"/>
              </w:numPr>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Proiectul este complementar cu investițiile în portul Tulcea, drumul expres DX8 și modernizarea aeroportului, creând premisele unei rețele de transport intermodal coerentă.</w:t>
            </w:r>
          </w:p>
          <w:p w14:paraId="11AE2574" w14:textId="77777777" w:rsidR="005E3F92" w:rsidRPr="007D3D4F" w:rsidRDefault="005E3F92" w:rsidP="005E3F92">
            <w:pPr>
              <w:pStyle w:val="Smn"/>
              <w:spacing w:before="0" w:after="0"/>
              <w:contextualSpacing/>
              <w:rPr>
                <w:rFonts w:ascii="Times New Roman" w:hAnsi="Times New Roman" w:cs="Times New Roman"/>
                <w:color w:val="auto"/>
                <w:sz w:val="20"/>
                <w:szCs w:val="20"/>
              </w:rPr>
            </w:pPr>
            <w:r w:rsidRPr="007D3D4F">
              <w:rPr>
                <w:rFonts w:ascii="Times New Roman" w:hAnsi="Times New Roman" w:cs="Times New Roman"/>
                <w:color w:val="auto"/>
                <w:sz w:val="20"/>
                <w:szCs w:val="20"/>
              </w:rPr>
              <w:t>Modernizarea stațiilor și a infrastructurii feroviare poate contribui la revitalizarea transportului de marfă pe calea ferată, în special pentru cereale, produse industriale și materiale de construcții.</w:t>
            </w:r>
          </w:p>
        </w:tc>
      </w:tr>
      <w:tr w:rsidR="005E3F92" w:rsidRPr="007D3D4F" w14:paraId="46C5FF2C" w14:textId="77777777" w:rsidTr="00E86ADB">
        <w:trPr>
          <w:jc w:val="center"/>
        </w:trPr>
        <w:tc>
          <w:tcPr>
            <w:tcW w:w="0" w:type="auto"/>
            <w:shd w:val="clear" w:color="auto" w:fill="E7E6E6" w:themeFill="background2"/>
            <w:vAlign w:val="center"/>
          </w:tcPr>
          <w:p w14:paraId="618AA5B8"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F047211" w14:textId="0CF91869" w:rsidR="005E3F92" w:rsidRPr="007D3D4F" w:rsidRDefault="005E3F92" w:rsidP="005E3F92">
            <w:pPr>
              <w:pStyle w:val="Smn"/>
              <w:spacing w:before="0" w:after="0"/>
              <w:contextualSpacing/>
              <w:rPr>
                <w:rFonts w:ascii="Times New Roman" w:hAnsi="Times New Roman" w:cs="Times New Roman"/>
                <w:color w:val="auto"/>
                <w:sz w:val="20"/>
                <w:szCs w:val="20"/>
              </w:rPr>
            </w:pPr>
            <w:r w:rsidRPr="00913EC2">
              <w:rPr>
                <w:rFonts w:ascii="Times New Roman" w:hAnsi="Times New Roman" w:cs="Times New Roman"/>
                <w:color w:val="auto"/>
                <w:sz w:val="20"/>
                <w:szCs w:val="20"/>
              </w:rPr>
              <w:t xml:space="preserve">Facilități de îmbarcare/debarcare pentru ARBDD      </w:t>
            </w:r>
          </w:p>
        </w:tc>
        <w:tc>
          <w:tcPr>
            <w:tcW w:w="624" w:type="pct"/>
            <w:shd w:val="clear" w:color="auto" w:fill="E7E6E6" w:themeFill="background2"/>
            <w:vAlign w:val="center"/>
          </w:tcPr>
          <w:p w14:paraId="0898B113" w14:textId="4D0B3CDF"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Pr>
                <w:rFonts w:ascii="Times New Roman" w:hAnsi="Times New Roman" w:cs="Times New Roman"/>
                <w:color w:val="auto"/>
                <w:sz w:val="20"/>
                <w:szCs w:val="20"/>
              </w:rPr>
              <w:t>ARBDD</w:t>
            </w:r>
          </w:p>
        </w:tc>
        <w:tc>
          <w:tcPr>
            <w:tcW w:w="2952" w:type="pct"/>
            <w:shd w:val="clear" w:color="auto" w:fill="E7E6E6" w:themeFill="background2"/>
            <w:vAlign w:val="center"/>
          </w:tcPr>
          <w:p w14:paraId="2B377543" w14:textId="7887D369" w:rsidR="005E3F92" w:rsidRPr="00BB6E4C" w:rsidRDefault="005E3F92" w:rsidP="005E3F92">
            <w:pPr>
              <w:pStyle w:val="Smn"/>
              <w:spacing w:before="0" w:after="0"/>
              <w:contextualSpacing/>
              <w:rPr>
                <w:rFonts w:ascii="Times New Roman" w:hAnsi="Times New Roman" w:cs="Times New Roman"/>
                <w:b/>
                <w:bCs/>
                <w:color w:val="auto"/>
                <w:sz w:val="20"/>
                <w:szCs w:val="20"/>
              </w:rPr>
            </w:pPr>
            <w:r w:rsidRPr="00BB6E4C">
              <w:rPr>
                <w:rFonts w:ascii="Times New Roman" w:hAnsi="Times New Roman" w:cs="Times New Roman"/>
                <w:b/>
                <w:bCs/>
                <w:color w:val="auto"/>
                <w:sz w:val="20"/>
                <w:szCs w:val="20"/>
              </w:rPr>
              <w:t>Propunere</w:t>
            </w:r>
            <w:r>
              <w:rPr>
                <w:rFonts w:ascii="Times New Roman" w:hAnsi="Times New Roman" w:cs="Times New Roman"/>
                <w:b/>
                <w:bCs/>
                <w:color w:val="auto"/>
                <w:sz w:val="20"/>
                <w:szCs w:val="20"/>
              </w:rPr>
              <w:t xml:space="preserve"> ARBDD</w:t>
            </w:r>
          </w:p>
          <w:p w14:paraId="4032D237" w14:textId="77777777" w:rsidR="005E3F92" w:rsidRDefault="005E3F92" w:rsidP="005E3F92">
            <w:pPr>
              <w:pStyle w:val="Smn"/>
              <w:spacing w:before="0" w:after="0"/>
              <w:contextualSpacing/>
              <w:rPr>
                <w:rFonts w:ascii="Times New Roman" w:hAnsi="Times New Roman" w:cs="Times New Roman"/>
                <w:color w:val="auto"/>
                <w:sz w:val="20"/>
                <w:szCs w:val="20"/>
              </w:rPr>
            </w:pPr>
            <w:r w:rsidRPr="00913EC2">
              <w:rPr>
                <w:rFonts w:ascii="Times New Roman" w:hAnsi="Times New Roman" w:cs="Times New Roman"/>
                <w:color w:val="auto"/>
                <w:sz w:val="20"/>
                <w:szCs w:val="20"/>
              </w:rPr>
              <w:t>Achiziția unui ponton – produs specializat cu destinație de îmbarcare/debarcare personal propriu și/sau colaboratori pentru deplasarea în interiorul Rezervației Biosfera Delta Dunării.</w:t>
            </w:r>
          </w:p>
          <w:p w14:paraId="64CDD089" w14:textId="089AF3C5" w:rsidR="005E3F92" w:rsidRPr="00BB6E4C" w:rsidRDefault="005E3F92" w:rsidP="005E3F92">
            <w:pPr>
              <w:pStyle w:val="Smn"/>
              <w:spacing w:before="0" w:after="0"/>
              <w:contextualSpacing/>
              <w:rPr>
                <w:rFonts w:ascii="Times New Roman" w:hAnsi="Times New Roman" w:cs="Times New Roman"/>
                <w:b/>
                <w:bCs/>
                <w:color w:val="auto"/>
                <w:sz w:val="20"/>
                <w:szCs w:val="20"/>
              </w:rPr>
            </w:pPr>
            <w:r w:rsidRPr="00BB6E4C">
              <w:rPr>
                <w:rFonts w:ascii="Times New Roman" w:hAnsi="Times New Roman" w:cs="Times New Roman"/>
                <w:b/>
                <w:bCs/>
                <w:color w:val="auto"/>
                <w:sz w:val="20"/>
                <w:szCs w:val="20"/>
              </w:rPr>
              <w:t>Surse potențiale de finanțare: Programul pentru Acvacultură și Pescuit 2021-2029</w:t>
            </w:r>
          </w:p>
        </w:tc>
      </w:tr>
      <w:tr w:rsidR="005E3F92" w:rsidRPr="007D3D4F" w14:paraId="65701686" w14:textId="77777777" w:rsidTr="00E86ADB">
        <w:trPr>
          <w:jc w:val="center"/>
        </w:trPr>
        <w:tc>
          <w:tcPr>
            <w:tcW w:w="0" w:type="auto"/>
            <w:shd w:val="clear" w:color="auto" w:fill="E7E6E6" w:themeFill="background2"/>
            <w:vAlign w:val="center"/>
          </w:tcPr>
          <w:p w14:paraId="44A30B2E"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3DF0B755" w14:textId="3A5373D1" w:rsidR="005E3F92" w:rsidRPr="007D3D4F" w:rsidRDefault="005E3F92" w:rsidP="005E3F92">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D</w:t>
            </w:r>
            <w:r w:rsidRPr="0002697B">
              <w:rPr>
                <w:rFonts w:ascii="Times New Roman" w:hAnsi="Times New Roman" w:cs="Times New Roman"/>
                <w:color w:val="auto"/>
                <w:sz w:val="20"/>
                <w:szCs w:val="20"/>
              </w:rPr>
              <w:t>rum de exploatare: Centura – Unitatea Militară – Lacul Razlem, comuna Baia, județul Tulcea</w:t>
            </w:r>
          </w:p>
        </w:tc>
        <w:tc>
          <w:tcPr>
            <w:tcW w:w="624" w:type="pct"/>
            <w:shd w:val="clear" w:color="auto" w:fill="E7E6E6" w:themeFill="background2"/>
            <w:vAlign w:val="center"/>
          </w:tcPr>
          <w:p w14:paraId="56B606A1" w14:textId="3ADFA7CA"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Pr>
                <w:rFonts w:ascii="Times New Roman" w:hAnsi="Times New Roman" w:cs="Times New Roman"/>
                <w:color w:val="auto"/>
                <w:sz w:val="20"/>
                <w:szCs w:val="20"/>
              </w:rPr>
              <w:t>UAT Comuna Baia</w:t>
            </w:r>
          </w:p>
        </w:tc>
        <w:tc>
          <w:tcPr>
            <w:tcW w:w="2952" w:type="pct"/>
            <w:shd w:val="clear" w:color="auto" w:fill="E7E6E6" w:themeFill="background2"/>
            <w:vAlign w:val="center"/>
          </w:tcPr>
          <w:p w14:paraId="54E6B48B" w14:textId="77777777" w:rsidR="005E3F92" w:rsidRDefault="005E3F92" w:rsidP="005E3F92">
            <w:pPr>
              <w:pStyle w:val="Smn"/>
              <w:spacing w:before="0" w:after="0"/>
              <w:contextualSpacing/>
              <w:rPr>
                <w:rFonts w:ascii="Times New Roman" w:hAnsi="Times New Roman" w:cs="Times New Roman"/>
                <w:b/>
                <w:bCs/>
                <w:color w:val="auto"/>
                <w:sz w:val="20"/>
                <w:szCs w:val="20"/>
              </w:rPr>
            </w:pPr>
            <w:r>
              <w:rPr>
                <w:rFonts w:ascii="Times New Roman" w:hAnsi="Times New Roman" w:cs="Times New Roman"/>
                <w:b/>
                <w:bCs/>
                <w:color w:val="auto"/>
                <w:sz w:val="20"/>
                <w:szCs w:val="20"/>
              </w:rPr>
              <w:t>Propunere Comuna Baia</w:t>
            </w:r>
          </w:p>
          <w:p w14:paraId="1CD496F0" w14:textId="77777777" w:rsidR="005E3F92" w:rsidRPr="0002697B" w:rsidRDefault="005E3F92" w:rsidP="005E3F92">
            <w:pPr>
              <w:pStyle w:val="Smn"/>
              <w:spacing w:after="0"/>
              <w:contextualSpacing/>
              <w:rPr>
                <w:rFonts w:ascii="Times New Roman" w:hAnsi="Times New Roman" w:cs="Times New Roman"/>
                <w:color w:val="auto"/>
                <w:sz w:val="20"/>
                <w:szCs w:val="20"/>
              </w:rPr>
            </w:pPr>
            <w:r w:rsidRPr="0002697B">
              <w:rPr>
                <w:rFonts w:ascii="Times New Roman" w:hAnsi="Times New Roman" w:cs="Times New Roman"/>
                <w:color w:val="auto"/>
                <w:sz w:val="20"/>
                <w:szCs w:val="20"/>
              </w:rPr>
              <w:t xml:space="preserve">Drumul de exploatare propus asigură legătura între centura rutieră adiacentă unității militare situate la marginea localității Baia și malul lacului Razlem, într-o zonă de interes strategic, economic și ecologic. Traseul acestui drum traversează teritorii extravilane, predominant </w:t>
            </w:r>
            <w:r w:rsidRPr="0002697B">
              <w:rPr>
                <w:rFonts w:ascii="Times New Roman" w:hAnsi="Times New Roman" w:cs="Times New Roman"/>
                <w:color w:val="auto"/>
                <w:sz w:val="20"/>
                <w:szCs w:val="20"/>
              </w:rPr>
              <w:lastRenderedPageBreak/>
              <w:t>agricole sau cu vegetație specifică zonelor umede, fără a intersecta situri protejate Natura 2000 sau arii naturale strict protejate.</w:t>
            </w:r>
          </w:p>
          <w:p w14:paraId="22AF2A50" w14:textId="77777777" w:rsidR="005E3F92" w:rsidRPr="0002697B" w:rsidRDefault="005E3F92" w:rsidP="005E3F92">
            <w:pPr>
              <w:pStyle w:val="Smn"/>
              <w:spacing w:after="0"/>
              <w:contextualSpacing/>
              <w:rPr>
                <w:rFonts w:ascii="Times New Roman" w:hAnsi="Times New Roman" w:cs="Times New Roman"/>
                <w:color w:val="auto"/>
                <w:sz w:val="20"/>
                <w:szCs w:val="20"/>
              </w:rPr>
            </w:pPr>
            <w:r w:rsidRPr="0002697B">
              <w:rPr>
                <w:rFonts w:ascii="Times New Roman" w:hAnsi="Times New Roman" w:cs="Times New Roman"/>
                <w:color w:val="auto"/>
                <w:sz w:val="20"/>
                <w:szCs w:val="20"/>
              </w:rPr>
              <w:t>Lungimea totală a drumului este de aproximativ 5 kilometri ,cu o lățime a platformei de circa 5-6 metri, fiind prevăzut cu strat de balast compactat sau material pietros stabilizat, adecvat traficului greu specific activităților de exploatare agricolă și logistică.</w:t>
            </w:r>
          </w:p>
          <w:p w14:paraId="34F71096" w14:textId="77777777" w:rsidR="005E3F92" w:rsidRPr="0002697B" w:rsidRDefault="005E3F92" w:rsidP="005E3F92">
            <w:pPr>
              <w:pStyle w:val="Smn"/>
              <w:spacing w:after="0"/>
              <w:contextualSpacing/>
              <w:rPr>
                <w:rFonts w:ascii="Times New Roman" w:hAnsi="Times New Roman" w:cs="Times New Roman"/>
                <w:color w:val="auto"/>
                <w:sz w:val="20"/>
                <w:szCs w:val="20"/>
              </w:rPr>
            </w:pPr>
            <w:r w:rsidRPr="0002697B">
              <w:rPr>
                <w:rFonts w:ascii="Times New Roman" w:hAnsi="Times New Roman" w:cs="Times New Roman"/>
                <w:color w:val="auto"/>
                <w:sz w:val="20"/>
                <w:szCs w:val="20"/>
              </w:rPr>
              <w:t>Drumul are rol funcțional multiplu:</w:t>
            </w:r>
          </w:p>
          <w:p w14:paraId="200ABB62" w14:textId="0D842EE8" w:rsidR="005E3F92" w:rsidRPr="0002697B" w:rsidRDefault="005E3F92" w:rsidP="00D81598">
            <w:pPr>
              <w:pStyle w:val="Smn"/>
              <w:numPr>
                <w:ilvl w:val="0"/>
                <w:numId w:val="39"/>
              </w:numPr>
              <w:spacing w:after="0"/>
              <w:contextualSpacing/>
              <w:rPr>
                <w:rFonts w:ascii="Times New Roman" w:hAnsi="Times New Roman" w:cs="Times New Roman"/>
                <w:color w:val="auto"/>
                <w:sz w:val="20"/>
                <w:szCs w:val="20"/>
              </w:rPr>
            </w:pPr>
            <w:r w:rsidRPr="0002697B">
              <w:rPr>
                <w:rFonts w:ascii="Times New Roman" w:hAnsi="Times New Roman" w:cs="Times New Roman"/>
                <w:color w:val="auto"/>
                <w:sz w:val="20"/>
                <w:szCs w:val="20"/>
              </w:rPr>
              <w:t>asigură accesul tehnic și logistic între unitatea militară și zona lacului Razlem;</w:t>
            </w:r>
          </w:p>
          <w:p w14:paraId="1DBD56A1" w14:textId="77777777" w:rsidR="005E3F92" w:rsidRDefault="005E3F92" w:rsidP="00D81598">
            <w:pPr>
              <w:pStyle w:val="Smn"/>
              <w:numPr>
                <w:ilvl w:val="0"/>
                <w:numId w:val="39"/>
              </w:numPr>
              <w:spacing w:after="0"/>
              <w:contextualSpacing/>
              <w:rPr>
                <w:rFonts w:ascii="Times New Roman" w:hAnsi="Times New Roman" w:cs="Times New Roman"/>
                <w:color w:val="auto"/>
                <w:sz w:val="20"/>
                <w:szCs w:val="20"/>
              </w:rPr>
            </w:pPr>
            <w:r w:rsidRPr="0002697B">
              <w:rPr>
                <w:rFonts w:ascii="Times New Roman" w:hAnsi="Times New Roman" w:cs="Times New Roman"/>
                <w:color w:val="auto"/>
                <w:sz w:val="20"/>
                <w:szCs w:val="20"/>
              </w:rPr>
              <w:t>facilitează activitățile agricole și piscicole desfășurate în apropierea lacului;</w:t>
            </w:r>
          </w:p>
          <w:p w14:paraId="4233D5A9" w14:textId="6D84E11F" w:rsidR="005E3F92" w:rsidRPr="0002697B" w:rsidRDefault="005E3F92" w:rsidP="00D81598">
            <w:pPr>
              <w:pStyle w:val="Smn"/>
              <w:numPr>
                <w:ilvl w:val="0"/>
                <w:numId w:val="39"/>
              </w:numPr>
              <w:spacing w:after="0"/>
              <w:contextualSpacing/>
              <w:rPr>
                <w:rFonts w:ascii="Times New Roman" w:hAnsi="Times New Roman" w:cs="Times New Roman"/>
                <w:color w:val="auto"/>
                <w:sz w:val="20"/>
                <w:szCs w:val="20"/>
              </w:rPr>
            </w:pPr>
            <w:r w:rsidRPr="0002697B">
              <w:rPr>
                <w:rFonts w:ascii="Times New Roman" w:hAnsi="Times New Roman" w:cs="Times New Roman"/>
                <w:color w:val="auto"/>
                <w:sz w:val="20"/>
                <w:szCs w:val="20"/>
              </w:rPr>
              <w:t>permite intervenții rapide în caz de urgență (intervenții militare, de protecție civilă sau ecologică);</w:t>
            </w:r>
          </w:p>
          <w:p w14:paraId="7F105B94" w14:textId="77777777" w:rsidR="005E3F92" w:rsidRDefault="005E3F92" w:rsidP="00D81598">
            <w:pPr>
              <w:pStyle w:val="Smn"/>
              <w:numPr>
                <w:ilvl w:val="0"/>
                <w:numId w:val="39"/>
              </w:numPr>
              <w:spacing w:after="0"/>
              <w:contextualSpacing/>
              <w:rPr>
                <w:rFonts w:ascii="Times New Roman" w:hAnsi="Times New Roman" w:cs="Times New Roman"/>
                <w:color w:val="auto"/>
                <w:sz w:val="20"/>
                <w:szCs w:val="20"/>
              </w:rPr>
            </w:pPr>
            <w:r w:rsidRPr="0002697B">
              <w:rPr>
                <w:rFonts w:ascii="Times New Roman" w:hAnsi="Times New Roman" w:cs="Times New Roman"/>
                <w:color w:val="auto"/>
                <w:sz w:val="20"/>
                <w:szCs w:val="20"/>
              </w:rPr>
              <w:t>contribuie la dezvoltarea infrastructurii rurale locale.</w:t>
            </w:r>
          </w:p>
          <w:p w14:paraId="3586708A" w14:textId="77777777" w:rsidR="005E3F92" w:rsidRPr="003D2C39" w:rsidRDefault="005E3F92" w:rsidP="005E3F92">
            <w:pPr>
              <w:pStyle w:val="Smn"/>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Acest drum are o importanță deosebită atât logistică, cât și economică și ecologică, având în vedere că asigură ieșirea directă la lacul Razelm, o zonă cu potențial ridicat în:</w:t>
            </w:r>
          </w:p>
          <w:p w14:paraId="48715413" w14:textId="2B296FB0" w:rsidR="005E3F92" w:rsidRPr="003D2C39" w:rsidRDefault="005E3F92" w:rsidP="00D81598">
            <w:pPr>
              <w:pStyle w:val="Smn"/>
              <w:numPr>
                <w:ilvl w:val="0"/>
                <w:numId w:val="39"/>
              </w:numPr>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activități piscicole și de transport fluvial;</w:t>
            </w:r>
          </w:p>
          <w:p w14:paraId="7EF9D51E" w14:textId="14E2F0E9" w:rsidR="005E3F92" w:rsidRPr="003D2C39" w:rsidRDefault="005E3F92" w:rsidP="00D81598">
            <w:pPr>
              <w:pStyle w:val="Smn"/>
              <w:numPr>
                <w:ilvl w:val="0"/>
                <w:numId w:val="39"/>
              </w:numPr>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monitorizare și intervenții rapide în caz de urgențe (ex. incendii de vegetație, poluări accidentale, operațiuni militare sau de protecție civilă);</w:t>
            </w:r>
          </w:p>
          <w:p w14:paraId="202924A8" w14:textId="0E8C48CC" w:rsidR="005E3F92" w:rsidRPr="0002697B" w:rsidRDefault="005E3F92" w:rsidP="00D81598">
            <w:pPr>
              <w:pStyle w:val="Smn"/>
              <w:numPr>
                <w:ilvl w:val="0"/>
                <w:numId w:val="39"/>
              </w:numPr>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dezvoltarea infrastructurii turistice în relație cu Delta Dunării și Gura Portiței.</w:t>
            </w:r>
          </w:p>
        </w:tc>
      </w:tr>
      <w:tr w:rsidR="005E3F92" w:rsidRPr="007D3D4F" w14:paraId="6191D0E6" w14:textId="77777777" w:rsidTr="00E86ADB">
        <w:trPr>
          <w:jc w:val="center"/>
        </w:trPr>
        <w:tc>
          <w:tcPr>
            <w:tcW w:w="0" w:type="auto"/>
            <w:shd w:val="clear" w:color="auto" w:fill="E7E6E6" w:themeFill="background2"/>
            <w:vAlign w:val="center"/>
          </w:tcPr>
          <w:p w14:paraId="5D0FD106"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42D2BD5A" w14:textId="3F394FD4" w:rsidR="005E3F92" w:rsidRPr="007D3D4F" w:rsidRDefault="005E3F92" w:rsidP="005E3F92">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R</w:t>
            </w:r>
            <w:r w:rsidRPr="003D2C39">
              <w:rPr>
                <w:rFonts w:ascii="Times New Roman" w:hAnsi="Times New Roman" w:cs="Times New Roman"/>
                <w:color w:val="auto"/>
                <w:sz w:val="20"/>
                <w:szCs w:val="20"/>
              </w:rPr>
              <w:t>eabilitare străzi – satele Caugagia și Panduru, comuna Baia, județul Tulcea</w:t>
            </w:r>
          </w:p>
        </w:tc>
        <w:tc>
          <w:tcPr>
            <w:tcW w:w="624" w:type="pct"/>
            <w:shd w:val="clear" w:color="auto" w:fill="E7E6E6" w:themeFill="background2"/>
            <w:vAlign w:val="center"/>
          </w:tcPr>
          <w:p w14:paraId="29B70E4C" w14:textId="5BB6CD0B"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Pr>
                <w:rFonts w:ascii="Times New Roman" w:hAnsi="Times New Roman" w:cs="Times New Roman"/>
                <w:color w:val="auto"/>
                <w:sz w:val="20"/>
                <w:szCs w:val="20"/>
              </w:rPr>
              <w:t>UAT Comuna Baia</w:t>
            </w:r>
          </w:p>
        </w:tc>
        <w:tc>
          <w:tcPr>
            <w:tcW w:w="2952" w:type="pct"/>
            <w:shd w:val="clear" w:color="auto" w:fill="E7E6E6" w:themeFill="background2"/>
            <w:vAlign w:val="center"/>
          </w:tcPr>
          <w:p w14:paraId="417A2863" w14:textId="77777777" w:rsidR="005E3F92" w:rsidRDefault="005E3F92" w:rsidP="005E3F92">
            <w:pPr>
              <w:pStyle w:val="Smn"/>
              <w:spacing w:before="0" w:after="0"/>
              <w:contextualSpacing/>
              <w:rPr>
                <w:rFonts w:ascii="Times New Roman" w:hAnsi="Times New Roman" w:cs="Times New Roman"/>
                <w:b/>
                <w:bCs/>
                <w:color w:val="auto"/>
                <w:sz w:val="20"/>
                <w:szCs w:val="20"/>
              </w:rPr>
            </w:pPr>
            <w:r>
              <w:rPr>
                <w:rFonts w:ascii="Times New Roman" w:hAnsi="Times New Roman" w:cs="Times New Roman"/>
                <w:b/>
                <w:bCs/>
                <w:color w:val="auto"/>
                <w:sz w:val="20"/>
                <w:szCs w:val="20"/>
              </w:rPr>
              <w:t>Propunere Comuna Baia</w:t>
            </w:r>
          </w:p>
          <w:p w14:paraId="51817CAD" w14:textId="77777777" w:rsidR="005E3F92" w:rsidRPr="003D2C39" w:rsidRDefault="005E3F92" w:rsidP="005E3F92">
            <w:pPr>
              <w:pStyle w:val="Smn"/>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Străzile din satele Caugagia și Panduru, aparținătoare comunei Baia, județul Tulcea, se află într-o stare avansată de degradare, necesitând lucrări urgente de reabilitare și modernizare. În prezent, aceste străzi prezintă numeroase gropi, tasări, zone erodate, precum și lipsa sistemelor de scurgere a apelor pluviale, ceea ce afectează grav accesibilitatea și siguranța traficului local, pietonal și rutier.</w:t>
            </w:r>
          </w:p>
          <w:p w14:paraId="57E5586E" w14:textId="77777777" w:rsidR="005E3F92" w:rsidRPr="003D2C39" w:rsidRDefault="005E3F92" w:rsidP="005E3F92">
            <w:pPr>
              <w:pStyle w:val="Smn"/>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Străzile afectate deservesc gospodării, terenuri agricole, unități publice locale (școală, cămin cultural, biserică) și au un rol esențial în mobilitatea intra-comunitară. Lipsa infrastructurii adecvate limitează dezvoltarea socio-economică și accesul cetățenilor la servicii esențiale.</w:t>
            </w:r>
          </w:p>
          <w:p w14:paraId="147E6B79" w14:textId="77777777" w:rsidR="005E3F92" w:rsidRPr="003D2C39" w:rsidRDefault="005E3F92" w:rsidP="005E3F92">
            <w:pPr>
              <w:pStyle w:val="Smn"/>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Pentru remedierea situației, proiectul de reabilitare va cuprinde următoarele intervenții:</w:t>
            </w:r>
          </w:p>
          <w:p w14:paraId="4E4EC888" w14:textId="64E8EB39" w:rsidR="005E3F92" w:rsidRPr="003D2C39" w:rsidRDefault="005E3F92" w:rsidP="00D81598">
            <w:pPr>
              <w:pStyle w:val="Smn"/>
              <w:numPr>
                <w:ilvl w:val="0"/>
                <w:numId w:val="40"/>
              </w:numPr>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Refacerea stratului suport al drumurilor prin lucrări de săpătură, nivelare și compactare;</w:t>
            </w:r>
          </w:p>
          <w:p w14:paraId="45AC742F" w14:textId="28401290" w:rsidR="005E3F92" w:rsidRPr="003D2C39" w:rsidRDefault="005E3F92" w:rsidP="00D81598">
            <w:pPr>
              <w:pStyle w:val="Smn"/>
              <w:numPr>
                <w:ilvl w:val="0"/>
                <w:numId w:val="40"/>
              </w:numPr>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Așternerea unui sistem rutier modernizat, cu strat de balast stabilizat și îmbrăcăminte bituminoasă sau din beton rutier, în funcție de specificul zonei;</w:t>
            </w:r>
          </w:p>
          <w:p w14:paraId="76F96E6D" w14:textId="0EFF280F" w:rsidR="005E3F92" w:rsidRPr="003D2C39" w:rsidRDefault="005E3F92" w:rsidP="00D81598">
            <w:pPr>
              <w:pStyle w:val="Smn"/>
              <w:numPr>
                <w:ilvl w:val="0"/>
                <w:numId w:val="40"/>
              </w:numPr>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Amenajarea rigolelor și șanțurilor pentru colectarea și evacuarea apelor pluviale;</w:t>
            </w:r>
          </w:p>
          <w:p w14:paraId="7217224A" w14:textId="34EB0713" w:rsidR="005E3F92" w:rsidRPr="003D2C39" w:rsidRDefault="005E3F92" w:rsidP="00D81598">
            <w:pPr>
              <w:pStyle w:val="Smn"/>
              <w:numPr>
                <w:ilvl w:val="0"/>
                <w:numId w:val="40"/>
              </w:numPr>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Montarea podețelor la intrările în gospodării și în zonele joase;</w:t>
            </w:r>
          </w:p>
          <w:p w14:paraId="08707981" w14:textId="0FBB2844" w:rsidR="005E3F92" w:rsidRPr="003D2C39" w:rsidRDefault="005E3F92" w:rsidP="00D81598">
            <w:pPr>
              <w:pStyle w:val="Smn"/>
              <w:numPr>
                <w:ilvl w:val="0"/>
                <w:numId w:val="40"/>
              </w:numPr>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lastRenderedPageBreak/>
              <w:t>Semnalizare rutieră verticală și orizontală, pentru creșterea siguranței circulației;</w:t>
            </w:r>
          </w:p>
          <w:p w14:paraId="6EAC42F6" w14:textId="7CCD7416" w:rsidR="005E3F92" w:rsidRPr="003D2C39" w:rsidRDefault="005E3F92" w:rsidP="00D81598">
            <w:pPr>
              <w:pStyle w:val="Smn"/>
              <w:numPr>
                <w:ilvl w:val="0"/>
                <w:numId w:val="40"/>
              </w:numPr>
              <w:spacing w:after="0"/>
              <w:contextualSpacing/>
              <w:rPr>
                <w:rFonts w:ascii="Times New Roman" w:hAnsi="Times New Roman" w:cs="Times New Roman"/>
                <w:color w:val="auto"/>
                <w:sz w:val="20"/>
                <w:szCs w:val="20"/>
              </w:rPr>
            </w:pPr>
            <w:r w:rsidRPr="003D2C39">
              <w:rPr>
                <w:rFonts w:ascii="Times New Roman" w:hAnsi="Times New Roman" w:cs="Times New Roman"/>
                <w:color w:val="auto"/>
                <w:sz w:val="20"/>
                <w:szCs w:val="20"/>
              </w:rPr>
              <w:t>Posibilă iluminare publică modernizată (acolo unde reabilitarea implică și lucrări conexe).</w:t>
            </w:r>
          </w:p>
        </w:tc>
      </w:tr>
      <w:tr w:rsidR="005E3F92" w:rsidRPr="007D3D4F" w14:paraId="6D4F75C1" w14:textId="77777777" w:rsidTr="00E86ADB">
        <w:trPr>
          <w:jc w:val="center"/>
        </w:trPr>
        <w:tc>
          <w:tcPr>
            <w:tcW w:w="0" w:type="auto"/>
            <w:shd w:val="clear" w:color="auto" w:fill="E7E6E6" w:themeFill="background2"/>
            <w:vAlign w:val="center"/>
          </w:tcPr>
          <w:p w14:paraId="1CBB7F67"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60134D89" w14:textId="50134B35" w:rsidR="005E3F92" w:rsidRPr="007D3D4F" w:rsidRDefault="005E3F92" w:rsidP="005E3F92">
            <w:pPr>
              <w:pStyle w:val="Smn"/>
              <w:spacing w:before="0" w:after="0"/>
              <w:contextualSpacing/>
              <w:rPr>
                <w:rFonts w:ascii="Times New Roman" w:hAnsi="Times New Roman" w:cs="Times New Roman"/>
                <w:color w:val="auto"/>
                <w:sz w:val="20"/>
                <w:szCs w:val="20"/>
              </w:rPr>
            </w:pPr>
            <w:r>
              <w:rPr>
                <w:rFonts w:ascii="Times New Roman" w:hAnsi="Times New Roman" w:cs="Times New Roman"/>
                <w:color w:val="auto"/>
                <w:sz w:val="20"/>
                <w:szCs w:val="20"/>
              </w:rPr>
              <w:t>Crearea unei l</w:t>
            </w:r>
            <w:r w:rsidRPr="004604CB">
              <w:rPr>
                <w:rFonts w:ascii="Times New Roman" w:hAnsi="Times New Roman" w:cs="Times New Roman"/>
                <w:color w:val="auto"/>
                <w:sz w:val="20"/>
                <w:szCs w:val="20"/>
              </w:rPr>
              <w:t>egătur</w:t>
            </w:r>
            <w:r>
              <w:rPr>
                <w:rFonts w:ascii="Times New Roman" w:hAnsi="Times New Roman" w:cs="Times New Roman"/>
                <w:color w:val="auto"/>
                <w:sz w:val="20"/>
                <w:szCs w:val="20"/>
              </w:rPr>
              <w:t>i</w:t>
            </w:r>
            <w:r w:rsidRPr="004604CB">
              <w:rPr>
                <w:rFonts w:ascii="Times New Roman" w:hAnsi="Times New Roman" w:cs="Times New Roman"/>
                <w:color w:val="auto"/>
                <w:sz w:val="20"/>
                <w:szCs w:val="20"/>
              </w:rPr>
              <w:t xml:space="preserve"> rutier</w:t>
            </w:r>
            <w:r>
              <w:rPr>
                <w:rFonts w:ascii="Times New Roman" w:hAnsi="Times New Roman" w:cs="Times New Roman"/>
                <w:color w:val="auto"/>
                <w:sz w:val="20"/>
                <w:szCs w:val="20"/>
              </w:rPr>
              <w:t>e</w:t>
            </w:r>
            <w:r w:rsidRPr="004604CB">
              <w:rPr>
                <w:rFonts w:ascii="Times New Roman" w:hAnsi="Times New Roman" w:cs="Times New Roman"/>
                <w:color w:val="auto"/>
                <w:sz w:val="20"/>
                <w:szCs w:val="20"/>
              </w:rPr>
              <w:t xml:space="preserve"> strategic</w:t>
            </w:r>
            <w:r>
              <w:rPr>
                <w:rFonts w:ascii="Times New Roman" w:hAnsi="Times New Roman" w:cs="Times New Roman"/>
                <w:color w:val="auto"/>
                <w:sz w:val="20"/>
                <w:szCs w:val="20"/>
              </w:rPr>
              <w:t>e</w:t>
            </w:r>
            <w:r w:rsidRPr="004604CB">
              <w:rPr>
                <w:rFonts w:ascii="Times New Roman" w:hAnsi="Times New Roman" w:cs="Times New Roman"/>
                <w:color w:val="auto"/>
                <w:sz w:val="20"/>
                <w:szCs w:val="20"/>
              </w:rPr>
              <w:t xml:space="preserve"> între satele Camena (comuna Baia) și Ceamurlia de Sus</w:t>
            </w:r>
          </w:p>
        </w:tc>
        <w:tc>
          <w:tcPr>
            <w:tcW w:w="624" w:type="pct"/>
            <w:shd w:val="clear" w:color="auto" w:fill="E7E6E6" w:themeFill="background2"/>
          </w:tcPr>
          <w:p w14:paraId="5F9266AC" w14:textId="399D534A"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D62560">
              <w:rPr>
                <w:rFonts w:ascii="Times New Roman" w:hAnsi="Times New Roman" w:cs="Times New Roman"/>
                <w:color w:val="auto"/>
                <w:sz w:val="20"/>
                <w:szCs w:val="20"/>
              </w:rPr>
              <w:t>UAT Comuna Baia</w:t>
            </w:r>
          </w:p>
        </w:tc>
        <w:tc>
          <w:tcPr>
            <w:tcW w:w="2952" w:type="pct"/>
            <w:shd w:val="clear" w:color="auto" w:fill="E7E6E6" w:themeFill="background2"/>
            <w:vAlign w:val="center"/>
          </w:tcPr>
          <w:p w14:paraId="2AADE794" w14:textId="77777777" w:rsidR="005E3F92" w:rsidRDefault="005E3F92" w:rsidP="005E3F92">
            <w:pPr>
              <w:pStyle w:val="Smn"/>
              <w:spacing w:before="0" w:after="0"/>
              <w:contextualSpacing/>
              <w:rPr>
                <w:rFonts w:ascii="Times New Roman" w:hAnsi="Times New Roman" w:cs="Times New Roman"/>
                <w:b/>
                <w:bCs/>
                <w:color w:val="auto"/>
                <w:sz w:val="20"/>
                <w:szCs w:val="20"/>
              </w:rPr>
            </w:pPr>
            <w:r>
              <w:rPr>
                <w:rFonts w:ascii="Times New Roman" w:hAnsi="Times New Roman" w:cs="Times New Roman"/>
                <w:b/>
                <w:bCs/>
                <w:color w:val="auto"/>
                <w:sz w:val="20"/>
                <w:szCs w:val="20"/>
              </w:rPr>
              <w:t>Propunere Comuna Baia</w:t>
            </w:r>
          </w:p>
          <w:p w14:paraId="0E79AF87" w14:textId="4586079F" w:rsidR="005E3F92" w:rsidRPr="004604CB" w:rsidRDefault="005E3F92" w:rsidP="005E3F92">
            <w:pPr>
              <w:pStyle w:val="Smn"/>
              <w:spacing w:before="0" w:after="0"/>
              <w:contextualSpacing/>
              <w:rPr>
                <w:rFonts w:ascii="Times New Roman" w:hAnsi="Times New Roman" w:cs="Times New Roman"/>
                <w:color w:val="auto"/>
                <w:sz w:val="20"/>
                <w:szCs w:val="20"/>
              </w:rPr>
            </w:pPr>
            <w:r w:rsidRPr="004604CB">
              <w:rPr>
                <w:rFonts w:ascii="Times New Roman" w:hAnsi="Times New Roman" w:cs="Times New Roman"/>
                <w:color w:val="auto"/>
                <w:sz w:val="20"/>
                <w:szCs w:val="20"/>
              </w:rPr>
              <w:t>Drumul propus asigură o legătură rutieră strategică între satele Camena (comuna Baia) și Ceamurlia de Sus , facilitând conectivitatea locală și regională în partea sudică a județului Tulcea. Traseul drumului traversează o zonă cu relief colinar, specific Podișului Dobrogean, apropiindu-se de formațiunea geologică cunoscută sub numele de Guva Furilor – un promontoriu natural cu importanță peisagistică și geologică.</w:t>
            </w:r>
          </w:p>
        </w:tc>
      </w:tr>
      <w:tr w:rsidR="005E3F92" w:rsidRPr="007D3D4F" w14:paraId="7DDB40D6" w14:textId="77777777" w:rsidTr="00E86ADB">
        <w:trPr>
          <w:jc w:val="center"/>
        </w:trPr>
        <w:tc>
          <w:tcPr>
            <w:tcW w:w="0" w:type="auto"/>
            <w:shd w:val="clear" w:color="auto" w:fill="E7E6E6" w:themeFill="background2"/>
            <w:vAlign w:val="center"/>
          </w:tcPr>
          <w:p w14:paraId="2C36E0CD"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505AE426" w14:textId="6AC6E03B" w:rsidR="005E3F92" w:rsidRPr="007D3D4F" w:rsidRDefault="005E3F92" w:rsidP="005E3F92">
            <w:pPr>
              <w:pStyle w:val="Smn"/>
              <w:spacing w:before="0" w:after="0"/>
              <w:contextualSpacing/>
              <w:rPr>
                <w:rFonts w:ascii="Times New Roman" w:hAnsi="Times New Roman" w:cs="Times New Roman"/>
                <w:color w:val="auto"/>
                <w:sz w:val="20"/>
                <w:szCs w:val="20"/>
              </w:rPr>
            </w:pPr>
            <w:r w:rsidRPr="004604CB">
              <w:rPr>
                <w:rFonts w:ascii="Times New Roman" w:hAnsi="Times New Roman" w:cs="Times New Roman"/>
                <w:color w:val="auto"/>
                <w:sz w:val="20"/>
                <w:szCs w:val="20"/>
              </w:rPr>
              <w:t>Reabilitare și modernizare drum Săceanu – Lacul</w:t>
            </w:r>
          </w:p>
        </w:tc>
        <w:tc>
          <w:tcPr>
            <w:tcW w:w="624" w:type="pct"/>
            <w:shd w:val="clear" w:color="auto" w:fill="E7E6E6" w:themeFill="background2"/>
          </w:tcPr>
          <w:p w14:paraId="49EF712D" w14:textId="4D65271D"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D62560">
              <w:rPr>
                <w:rFonts w:ascii="Times New Roman" w:hAnsi="Times New Roman" w:cs="Times New Roman"/>
                <w:color w:val="auto"/>
                <w:sz w:val="20"/>
                <w:szCs w:val="20"/>
              </w:rPr>
              <w:t>UAT Comuna Baia</w:t>
            </w:r>
          </w:p>
        </w:tc>
        <w:tc>
          <w:tcPr>
            <w:tcW w:w="2952" w:type="pct"/>
            <w:shd w:val="clear" w:color="auto" w:fill="E7E6E6" w:themeFill="background2"/>
            <w:vAlign w:val="center"/>
          </w:tcPr>
          <w:p w14:paraId="696427B1" w14:textId="77777777" w:rsidR="005E3F92" w:rsidRDefault="005E3F92" w:rsidP="005E3F92">
            <w:pPr>
              <w:pStyle w:val="Smn"/>
              <w:spacing w:before="0" w:after="0"/>
              <w:contextualSpacing/>
              <w:rPr>
                <w:rFonts w:ascii="Times New Roman" w:hAnsi="Times New Roman" w:cs="Times New Roman"/>
                <w:b/>
                <w:bCs/>
                <w:color w:val="auto"/>
                <w:sz w:val="20"/>
                <w:szCs w:val="20"/>
              </w:rPr>
            </w:pPr>
            <w:r>
              <w:rPr>
                <w:rFonts w:ascii="Times New Roman" w:hAnsi="Times New Roman" w:cs="Times New Roman"/>
                <w:b/>
                <w:bCs/>
                <w:color w:val="auto"/>
                <w:sz w:val="20"/>
                <w:szCs w:val="20"/>
              </w:rPr>
              <w:t>Propunere Comuna Baia</w:t>
            </w:r>
          </w:p>
          <w:p w14:paraId="01D5B05B" w14:textId="2DD392FD" w:rsidR="005E3F92" w:rsidRPr="004604CB" w:rsidRDefault="005E3F92" w:rsidP="005E3F92">
            <w:pPr>
              <w:pStyle w:val="Smn"/>
              <w:spacing w:before="0" w:after="0"/>
              <w:contextualSpacing/>
              <w:rPr>
                <w:rFonts w:ascii="Times New Roman" w:hAnsi="Times New Roman" w:cs="Times New Roman"/>
                <w:color w:val="auto"/>
                <w:sz w:val="20"/>
                <w:szCs w:val="20"/>
              </w:rPr>
            </w:pPr>
            <w:r w:rsidRPr="004604CB">
              <w:rPr>
                <w:rFonts w:ascii="Times New Roman" w:hAnsi="Times New Roman" w:cs="Times New Roman"/>
                <w:color w:val="auto"/>
                <w:sz w:val="20"/>
                <w:szCs w:val="20"/>
              </w:rPr>
              <w:t>Drumul de exploatare situat în zona Săceanu, comuna Baia, ce face legătura între DN22 (E87) și malul lacului Razelm, se află într-o stare accentuată de degradare. Propunerea de reabilitare și modernizare vizează transformarea acestuia într-un drum de acces tehnic și turistic, cu rol strategic în dezvoltarea economică a zonei, facilitând legătura rapidă între infrastructura rutieră națională și zona lacustră Razelm – Gura Portiței. Prin această investiție se va crește accesibilitatea, capacitatea de intervenție, precum și potențialul de valorificare durabilă a resurselor naturale locale.</w:t>
            </w:r>
          </w:p>
        </w:tc>
      </w:tr>
      <w:tr w:rsidR="005E3F92" w:rsidRPr="007D3D4F" w14:paraId="0B706408" w14:textId="77777777" w:rsidTr="00E86ADB">
        <w:trPr>
          <w:jc w:val="center"/>
        </w:trPr>
        <w:tc>
          <w:tcPr>
            <w:tcW w:w="0" w:type="auto"/>
            <w:shd w:val="clear" w:color="auto" w:fill="E7E6E6" w:themeFill="background2"/>
            <w:vAlign w:val="center"/>
          </w:tcPr>
          <w:p w14:paraId="00DC42A2"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1CF50291" w14:textId="6DBE148F" w:rsidR="005E3F92" w:rsidRPr="007D3D4F" w:rsidRDefault="005E3F92" w:rsidP="005E3F92">
            <w:pPr>
              <w:pStyle w:val="Smn"/>
              <w:spacing w:before="0" w:after="0"/>
              <w:contextualSpacing/>
              <w:rPr>
                <w:rFonts w:ascii="Times New Roman" w:hAnsi="Times New Roman" w:cs="Times New Roman"/>
                <w:color w:val="auto"/>
                <w:sz w:val="20"/>
                <w:szCs w:val="20"/>
              </w:rPr>
            </w:pPr>
            <w:r w:rsidRPr="005F4E72">
              <w:rPr>
                <w:rFonts w:ascii="Times New Roman" w:hAnsi="Times New Roman" w:cs="Times New Roman"/>
                <w:color w:val="auto"/>
                <w:sz w:val="20"/>
                <w:szCs w:val="20"/>
              </w:rPr>
              <w:t>Centură ocolitoare a satului Baia</w:t>
            </w:r>
          </w:p>
        </w:tc>
        <w:tc>
          <w:tcPr>
            <w:tcW w:w="624" w:type="pct"/>
            <w:shd w:val="clear" w:color="auto" w:fill="E7E6E6" w:themeFill="background2"/>
          </w:tcPr>
          <w:p w14:paraId="7E70339D" w14:textId="0C69B61B" w:rsidR="005E3F92" w:rsidRPr="007D3D4F" w:rsidRDefault="005E3F92" w:rsidP="005E3F92">
            <w:pPr>
              <w:pStyle w:val="Smn"/>
              <w:spacing w:before="0" w:after="0"/>
              <w:contextualSpacing/>
              <w:jc w:val="center"/>
              <w:rPr>
                <w:rFonts w:ascii="Times New Roman" w:hAnsi="Times New Roman" w:cs="Times New Roman"/>
                <w:color w:val="auto"/>
                <w:sz w:val="20"/>
                <w:szCs w:val="20"/>
              </w:rPr>
            </w:pPr>
            <w:r w:rsidRPr="00D62560">
              <w:rPr>
                <w:rFonts w:ascii="Times New Roman" w:hAnsi="Times New Roman" w:cs="Times New Roman"/>
                <w:color w:val="auto"/>
                <w:sz w:val="20"/>
                <w:szCs w:val="20"/>
              </w:rPr>
              <w:t>UAT Comuna Baia</w:t>
            </w:r>
          </w:p>
        </w:tc>
        <w:tc>
          <w:tcPr>
            <w:tcW w:w="2952" w:type="pct"/>
            <w:shd w:val="clear" w:color="auto" w:fill="E7E6E6" w:themeFill="background2"/>
            <w:vAlign w:val="center"/>
          </w:tcPr>
          <w:p w14:paraId="0F6963C6" w14:textId="77777777" w:rsidR="005E3F92" w:rsidRDefault="005E3F92" w:rsidP="005E3F92">
            <w:pPr>
              <w:pStyle w:val="Smn"/>
              <w:spacing w:before="0" w:after="0"/>
              <w:contextualSpacing/>
              <w:rPr>
                <w:rFonts w:ascii="Times New Roman" w:hAnsi="Times New Roman" w:cs="Times New Roman"/>
                <w:b/>
                <w:bCs/>
                <w:color w:val="auto"/>
                <w:sz w:val="20"/>
                <w:szCs w:val="20"/>
              </w:rPr>
            </w:pPr>
            <w:r>
              <w:rPr>
                <w:rFonts w:ascii="Times New Roman" w:hAnsi="Times New Roman" w:cs="Times New Roman"/>
                <w:b/>
                <w:bCs/>
                <w:color w:val="auto"/>
                <w:sz w:val="20"/>
                <w:szCs w:val="20"/>
              </w:rPr>
              <w:t>Propunere Comuna Baia</w:t>
            </w:r>
          </w:p>
          <w:p w14:paraId="102DC8CE" w14:textId="77777777" w:rsidR="005E3F92" w:rsidRDefault="005E3F92" w:rsidP="005E3F92">
            <w:pPr>
              <w:pStyle w:val="Smn"/>
              <w:spacing w:before="0" w:after="0"/>
              <w:contextualSpacing/>
              <w:rPr>
                <w:rFonts w:ascii="Times New Roman" w:hAnsi="Times New Roman" w:cs="Times New Roman"/>
                <w:color w:val="auto"/>
                <w:sz w:val="20"/>
                <w:szCs w:val="20"/>
              </w:rPr>
            </w:pPr>
            <w:r w:rsidRPr="005F4E72">
              <w:rPr>
                <w:rFonts w:ascii="Times New Roman" w:hAnsi="Times New Roman" w:cs="Times New Roman"/>
                <w:color w:val="auto"/>
                <w:sz w:val="20"/>
                <w:szCs w:val="20"/>
              </w:rPr>
              <w:t>Se propune realizarea unei centuri ocolitoare a satului Baia, cu o lungime de aproximativ 5 km, amplasată în extravilanul localității, în zona de vest și sud. Obiectivul investiției este de a prelua traficul greu și agricol din interiorul localității, contribuind la creșterea siguranței rutiere, reducerea poluării și dezvoltarea coerentă a infrastructurii de mobilitate în comuna Baia. Drumul va avea 2 benzi de circulație, lățime de 7–8 metri, sistem de drenaj și va fi conectat la rețeaua de drumuri existente</w:t>
            </w:r>
            <w:r>
              <w:rPr>
                <w:rFonts w:ascii="Times New Roman" w:hAnsi="Times New Roman" w:cs="Times New Roman"/>
                <w:color w:val="auto"/>
                <w:sz w:val="20"/>
                <w:szCs w:val="20"/>
              </w:rPr>
              <w:t>.</w:t>
            </w:r>
          </w:p>
          <w:p w14:paraId="0A05D9CA" w14:textId="3D749E55" w:rsidR="005E3F92" w:rsidRPr="005F4E72" w:rsidRDefault="005E3F92" w:rsidP="005E3F92">
            <w:pPr>
              <w:pStyle w:val="Smn"/>
              <w:spacing w:after="0"/>
              <w:contextualSpacing/>
              <w:rPr>
                <w:rFonts w:ascii="Times New Roman" w:hAnsi="Times New Roman" w:cs="Times New Roman"/>
                <w:b/>
                <w:bCs/>
                <w:color w:val="auto"/>
                <w:sz w:val="20"/>
                <w:szCs w:val="20"/>
              </w:rPr>
            </w:pPr>
            <w:r w:rsidRPr="005F4E72">
              <w:rPr>
                <w:rFonts w:ascii="Times New Roman" w:hAnsi="Times New Roman" w:cs="Times New Roman"/>
                <w:b/>
                <w:bCs/>
                <w:color w:val="auto"/>
                <w:sz w:val="20"/>
                <w:szCs w:val="20"/>
              </w:rPr>
              <w:t>Roluri și avantaje ale centurii ocolitoare</w:t>
            </w:r>
            <w:r>
              <w:rPr>
                <w:rFonts w:ascii="Times New Roman" w:hAnsi="Times New Roman" w:cs="Times New Roman"/>
                <w:b/>
                <w:bCs/>
                <w:color w:val="auto"/>
                <w:sz w:val="20"/>
                <w:szCs w:val="20"/>
              </w:rPr>
              <w:t>:</w:t>
            </w:r>
          </w:p>
          <w:p w14:paraId="6F07BDE1" w14:textId="36952DCD" w:rsidR="005E3F92" w:rsidRPr="005F4E72" w:rsidRDefault="005E3F92" w:rsidP="005E3F92">
            <w:pPr>
              <w:pStyle w:val="Smn"/>
              <w:spacing w:after="0"/>
              <w:contextualSpacing/>
              <w:rPr>
                <w:rFonts w:ascii="Times New Roman" w:hAnsi="Times New Roman" w:cs="Times New Roman"/>
                <w:color w:val="auto"/>
                <w:sz w:val="20"/>
                <w:szCs w:val="20"/>
              </w:rPr>
            </w:pPr>
            <w:r w:rsidRPr="005F4E72">
              <w:rPr>
                <w:rFonts w:ascii="Times New Roman" w:hAnsi="Times New Roman" w:cs="Times New Roman"/>
                <w:color w:val="auto"/>
                <w:sz w:val="20"/>
                <w:szCs w:val="20"/>
              </w:rPr>
              <w:t>1.</w:t>
            </w:r>
            <w:r>
              <w:rPr>
                <w:rFonts w:ascii="Times New Roman" w:hAnsi="Times New Roman" w:cs="Times New Roman"/>
                <w:color w:val="auto"/>
                <w:sz w:val="20"/>
                <w:szCs w:val="20"/>
              </w:rPr>
              <w:t xml:space="preserve"> </w:t>
            </w:r>
            <w:r w:rsidRPr="005F4E72">
              <w:rPr>
                <w:rFonts w:ascii="Times New Roman" w:hAnsi="Times New Roman" w:cs="Times New Roman"/>
                <w:color w:val="auto"/>
                <w:sz w:val="20"/>
                <w:szCs w:val="20"/>
              </w:rPr>
              <w:t>Decongestionarea traficului local – în special pe DJ222 și străzile centrale ale satului.</w:t>
            </w:r>
          </w:p>
          <w:p w14:paraId="4EF30643" w14:textId="0031C1EA" w:rsidR="005E3F92" w:rsidRPr="005F4E72" w:rsidRDefault="005E3F92" w:rsidP="005E3F92">
            <w:pPr>
              <w:pStyle w:val="Smn"/>
              <w:spacing w:after="0"/>
              <w:contextualSpacing/>
              <w:rPr>
                <w:rFonts w:ascii="Times New Roman" w:hAnsi="Times New Roman" w:cs="Times New Roman"/>
                <w:color w:val="auto"/>
                <w:sz w:val="20"/>
                <w:szCs w:val="20"/>
              </w:rPr>
            </w:pPr>
            <w:r w:rsidRPr="005F4E72">
              <w:rPr>
                <w:rFonts w:ascii="Times New Roman" w:hAnsi="Times New Roman" w:cs="Times New Roman"/>
                <w:color w:val="auto"/>
                <w:sz w:val="20"/>
                <w:szCs w:val="20"/>
              </w:rPr>
              <w:t>2.</w:t>
            </w:r>
            <w:r>
              <w:rPr>
                <w:rFonts w:ascii="Times New Roman" w:hAnsi="Times New Roman" w:cs="Times New Roman"/>
                <w:color w:val="auto"/>
                <w:sz w:val="20"/>
                <w:szCs w:val="20"/>
              </w:rPr>
              <w:t xml:space="preserve"> </w:t>
            </w:r>
            <w:r w:rsidRPr="005F4E72">
              <w:rPr>
                <w:rFonts w:ascii="Times New Roman" w:hAnsi="Times New Roman" w:cs="Times New Roman"/>
                <w:color w:val="auto"/>
                <w:sz w:val="20"/>
                <w:szCs w:val="20"/>
              </w:rPr>
              <w:t>Preluarea traficului greu – utilaje agricole, camioane cu cereale, transport de balast sau combustibili.</w:t>
            </w:r>
          </w:p>
          <w:p w14:paraId="3C93C833" w14:textId="72A97488" w:rsidR="005E3F92" w:rsidRPr="005F4E72" w:rsidRDefault="005E3F92" w:rsidP="005E3F92">
            <w:pPr>
              <w:pStyle w:val="Smn"/>
              <w:spacing w:after="0"/>
              <w:contextualSpacing/>
              <w:rPr>
                <w:rFonts w:ascii="Times New Roman" w:hAnsi="Times New Roman" w:cs="Times New Roman"/>
                <w:color w:val="auto"/>
                <w:sz w:val="20"/>
                <w:szCs w:val="20"/>
              </w:rPr>
            </w:pPr>
            <w:r w:rsidRPr="005F4E72">
              <w:rPr>
                <w:rFonts w:ascii="Times New Roman" w:hAnsi="Times New Roman" w:cs="Times New Roman"/>
                <w:color w:val="auto"/>
                <w:sz w:val="20"/>
                <w:szCs w:val="20"/>
              </w:rPr>
              <w:t>3.</w:t>
            </w:r>
            <w:r>
              <w:rPr>
                <w:rFonts w:ascii="Times New Roman" w:hAnsi="Times New Roman" w:cs="Times New Roman"/>
                <w:color w:val="auto"/>
                <w:sz w:val="20"/>
                <w:szCs w:val="20"/>
              </w:rPr>
              <w:t xml:space="preserve"> </w:t>
            </w:r>
            <w:r w:rsidRPr="005F4E72">
              <w:rPr>
                <w:rFonts w:ascii="Times New Roman" w:hAnsi="Times New Roman" w:cs="Times New Roman"/>
                <w:color w:val="auto"/>
                <w:sz w:val="20"/>
                <w:szCs w:val="20"/>
              </w:rPr>
              <w:t>Reducerea poluării fonice și a prafului în intravilan.</w:t>
            </w:r>
          </w:p>
          <w:p w14:paraId="5E5E1C6A" w14:textId="147CF7E3" w:rsidR="005E3F92" w:rsidRPr="005F4E72" w:rsidRDefault="005E3F92" w:rsidP="005E3F92">
            <w:pPr>
              <w:pStyle w:val="Smn"/>
              <w:spacing w:after="0"/>
              <w:contextualSpacing/>
              <w:rPr>
                <w:rFonts w:ascii="Times New Roman" w:hAnsi="Times New Roman" w:cs="Times New Roman"/>
                <w:color w:val="auto"/>
                <w:sz w:val="20"/>
                <w:szCs w:val="20"/>
              </w:rPr>
            </w:pPr>
            <w:r w:rsidRPr="005F4E72">
              <w:rPr>
                <w:rFonts w:ascii="Times New Roman" w:hAnsi="Times New Roman" w:cs="Times New Roman"/>
                <w:color w:val="auto"/>
                <w:sz w:val="20"/>
                <w:szCs w:val="20"/>
              </w:rPr>
              <w:t>4.</w:t>
            </w:r>
            <w:r>
              <w:rPr>
                <w:rFonts w:ascii="Times New Roman" w:hAnsi="Times New Roman" w:cs="Times New Roman"/>
                <w:color w:val="auto"/>
                <w:sz w:val="20"/>
                <w:szCs w:val="20"/>
              </w:rPr>
              <w:t xml:space="preserve"> </w:t>
            </w:r>
            <w:r w:rsidRPr="005F4E72">
              <w:rPr>
                <w:rFonts w:ascii="Times New Roman" w:hAnsi="Times New Roman" w:cs="Times New Roman"/>
                <w:color w:val="auto"/>
                <w:sz w:val="20"/>
                <w:szCs w:val="20"/>
              </w:rPr>
              <w:t>Creșterea siguranței rutiere pentru pietoni, elevi, bicicliști.</w:t>
            </w:r>
          </w:p>
          <w:p w14:paraId="3179098E" w14:textId="0BE07852" w:rsidR="005E3F92" w:rsidRPr="005F4E72" w:rsidRDefault="005E3F92" w:rsidP="005E3F92">
            <w:pPr>
              <w:pStyle w:val="Smn"/>
              <w:spacing w:after="0"/>
              <w:contextualSpacing/>
              <w:rPr>
                <w:rFonts w:ascii="Times New Roman" w:hAnsi="Times New Roman" w:cs="Times New Roman"/>
                <w:color w:val="auto"/>
                <w:sz w:val="20"/>
                <w:szCs w:val="20"/>
              </w:rPr>
            </w:pPr>
            <w:r w:rsidRPr="005F4E72">
              <w:rPr>
                <w:rFonts w:ascii="Times New Roman" w:hAnsi="Times New Roman" w:cs="Times New Roman"/>
                <w:color w:val="auto"/>
                <w:sz w:val="20"/>
                <w:szCs w:val="20"/>
              </w:rPr>
              <w:t>5.</w:t>
            </w:r>
            <w:r>
              <w:rPr>
                <w:rFonts w:ascii="Times New Roman" w:hAnsi="Times New Roman" w:cs="Times New Roman"/>
                <w:color w:val="auto"/>
                <w:sz w:val="20"/>
                <w:szCs w:val="20"/>
              </w:rPr>
              <w:t xml:space="preserve"> </w:t>
            </w:r>
            <w:r w:rsidRPr="005F4E72">
              <w:rPr>
                <w:rFonts w:ascii="Times New Roman" w:hAnsi="Times New Roman" w:cs="Times New Roman"/>
                <w:color w:val="auto"/>
                <w:sz w:val="20"/>
                <w:szCs w:val="20"/>
              </w:rPr>
              <w:t>Crearea unei axe de dezvoltare – deschidere pentru viitoare obiective (hale agricole, spații logistice, drum spre lacul Razelm).</w:t>
            </w:r>
          </w:p>
        </w:tc>
      </w:tr>
      <w:tr w:rsidR="005E3F92" w:rsidRPr="007D3D4F" w14:paraId="14DD22FC" w14:textId="77777777" w:rsidTr="00E86ADB">
        <w:trPr>
          <w:jc w:val="center"/>
        </w:trPr>
        <w:tc>
          <w:tcPr>
            <w:tcW w:w="0" w:type="auto"/>
            <w:shd w:val="clear" w:color="auto" w:fill="E7E6E6" w:themeFill="background2"/>
            <w:vAlign w:val="center"/>
          </w:tcPr>
          <w:p w14:paraId="2943C27A"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27888B61" w14:textId="215D32D3" w:rsidR="005E3F92" w:rsidRPr="005F4E72" w:rsidRDefault="005E3F92" w:rsidP="005E3F92">
            <w:pPr>
              <w:pStyle w:val="Smn"/>
              <w:spacing w:before="0" w:after="0"/>
              <w:contextualSpacing/>
              <w:rPr>
                <w:rFonts w:ascii="Times New Roman" w:hAnsi="Times New Roman" w:cs="Times New Roman"/>
                <w:color w:val="auto"/>
                <w:sz w:val="20"/>
                <w:szCs w:val="20"/>
              </w:rPr>
            </w:pPr>
            <w:r w:rsidRPr="00636219">
              <w:rPr>
                <w:rFonts w:ascii="Times New Roman" w:hAnsi="Times New Roman" w:cs="Times New Roman"/>
                <w:color w:val="auto"/>
                <w:sz w:val="20"/>
                <w:szCs w:val="20"/>
              </w:rPr>
              <w:t>Nod de infrastructură pentru combustibili alternativi – DN22/E87 (punct Baia)</w:t>
            </w:r>
          </w:p>
        </w:tc>
        <w:tc>
          <w:tcPr>
            <w:tcW w:w="624" w:type="pct"/>
            <w:shd w:val="clear" w:color="auto" w:fill="E7E6E6" w:themeFill="background2"/>
          </w:tcPr>
          <w:p w14:paraId="3C57BF89" w14:textId="241D756D" w:rsidR="005E3F92" w:rsidRPr="00D62560" w:rsidRDefault="005E3F92" w:rsidP="005E3F92">
            <w:pPr>
              <w:pStyle w:val="Smn"/>
              <w:spacing w:before="0" w:after="0"/>
              <w:contextualSpacing/>
              <w:jc w:val="center"/>
              <w:rPr>
                <w:rFonts w:ascii="Times New Roman" w:hAnsi="Times New Roman" w:cs="Times New Roman"/>
                <w:color w:val="auto"/>
                <w:sz w:val="20"/>
                <w:szCs w:val="20"/>
              </w:rPr>
            </w:pPr>
            <w:r w:rsidRPr="00D62560">
              <w:rPr>
                <w:rFonts w:ascii="Times New Roman" w:hAnsi="Times New Roman" w:cs="Times New Roman"/>
                <w:color w:val="auto"/>
                <w:sz w:val="20"/>
                <w:szCs w:val="20"/>
              </w:rPr>
              <w:t>UAT Comuna Baia</w:t>
            </w:r>
          </w:p>
        </w:tc>
        <w:tc>
          <w:tcPr>
            <w:tcW w:w="2952" w:type="pct"/>
            <w:shd w:val="clear" w:color="auto" w:fill="E7E6E6" w:themeFill="background2"/>
            <w:vAlign w:val="center"/>
          </w:tcPr>
          <w:p w14:paraId="2553FD3D" w14:textId="4DA36EAF" w:rsidR="005E3F92" w:rsidRDefault="005E3F92" w:rsidP="005E3F92">
            <w:pPr>
              <w:pStyle w:val="Smn"/>
              <w:spacing w:before="0" w:after="0"/>
              <w:contextualSpacing/>
              <w:rPr>
                <w:rFonts w:ascii="Times New Roman" w:hAnsi="Times New Roman" w:cs="Times New Roman"/>
                <w:b/>
                <w:bCs/>
                <w:color w:val="auto"/>
                <w:sz w:val="20"/>
                <w:szCs w:val="20"/>
              </w:rPr>
            </w:pPr>
            <w:r>
              <w:rPr>
                <w:rFonts w:ascii="Times New Roman" w:hAnsi="Times New Roman" w:cs="Times New Roman"/>
                <w:b/>
                <w:bCs/>
                <w:color w:val="auto"/>
                <w:sz w:val="20"/>
                <w:szCs w:val="20"/>
              </w:rPr>
              <w:t>Propunere Comuna Baia</w:t>
            </w:r>
          </w:p>
          <w:p w14:paraId="792BFD58" w14:textId="6531A602" w:rsidR="005E3F92" w:rsidRDefault="005E3F92" w:rsidP="005E3F92">
            <w:pPr>
              <w:pStyle w:val="Smn"/>
              <w:spacing w:before="0" w:after="0"/>
              <w:contextualSpacing/>
              <w:rPr>
                <w:rFonts w:ascii="Times New Roman" w:hAnsi="Times New Roman" w:cs="Times New Roman"/>
                <w:color w:val="auto"/>
                <w:sz w:val="20"/>
                <w:szCs w:val="20"/>
              </w:rPr>
            </w:pPr>
            <w:r w:rsidRPr="00636219">
              <w:rPr>
                <w:rFonts w:ascii="Times New Roman" w:hAnsi="Times New Roman" w:cs="Times New Roman"/>
                <w:color w:val="auto"/>
                <w:sz w:val="20"/>
                <w:szCs w:val="20"/>
              </w:rPr>
              <w:t>Se propune amenajarea, în extravilanul Comunei Baia, a unui punct de alimentare cu combustibili alternativi pe axa DN22/E87 (Tulcea–Constanța), dimensionat etapizat. Amenajarea va include platforme și accese rutiere dedicate, stații de încărcare rapidă pentru vehicule electrice (cu posibilitatea rezervării pentru flote publice), spații tehnice pentru tablouri și echipamente, branșament la rețeaua de distribuție a energiei și, după caz, soluții locale de producere a energiei din surse regenerabile și stocare. Pe termen mediu, proiectul va analiza oportunitatea unei extinderi pentru alimentare cu hidrogen sau gaz natural comprimat, în funcție de cererea pieței, de reglementări și de traficul greu. Amplasamentul exact și capacitățile se stabilesc prin studiu multicriterial și prin documentațiile tehnice (studiu de fezabilitate și proiect tehnic), ținând cont de traficul actual și prognozat, accesul la rețea, disponibilitatea terenului și siguranța rutieră.</w:t>
            </w:r>
            <w:r>
              <w:rPr>
                <w:rFonts w:ascii="Times New Roman" w:hAnsi="Times New Roman" w:cs="Times New Roman"/>
                <w:color w:val="auto"/>
                <w:sz w:val="20"/>
                <w:szCs w:val="20"/>
              </w:rPr>
              <w:t xml:space="preserve"> </w:t>
            </w:r>
            <w:r w:rsidRPr="00636219">
              <w:rPr>
                <w:rFonts w:ascii="Times New Roman" w:hAnsi="Times New Roman" w:cs="Times New Roman"/>
                <w:color w:val="auto"/>
                <w:sz w:val="20"/>
                <w:szCs w:val="20"/>
              </w:rPr>
              <w:t>Amplasamentul exact, capacitățile și modelul de operare se stabilesc în SF/PT.</w:t>
            </w:r>
          </w:p>
          <w:p w14:paraId="11CF6886" w14:textId="77777777" w:rsidR="005E3F92" w:rsidRPr="00636219" w:rsidRDefault="005E3F92" w:rsidP="005E3F92">
            <w:pPr>
              <w:pStyle w:val="Smn"/>
              <w:spacing w:before="0" w:after="0"/>
              <w:contextualSpacing/>
              <w:rPr>
                <w:rFonts w:ascii="Times New Roman" w:hAnsi="Times New Roman" w:cs="Times New Roman"/>
                <w:sz w:val="20"/>
                <w:szCs w:val="20"/>
              </w:rPr>
            </w:pPr>
            <w:r w:rsidRPr="00636219">
              <w:rPr>
                <w:rFonts w:ascii="Times New Roman" w:hAnsi="Times New Roman" w:cs="Times New Roman"/>
                <w:b/>
                <w:bCs/>
                <w:sz w:val="20"/>
                <w:szCs w:val="20"/>
              </w:rPr>
              <w:t>Roluri și avantaje ale nodului de alimentare:</w:t>
            </w:r>
          </w:p>
          <w:p w14:paraId="5CE986F1" w14:textId="77777777" w:rsidR="005E3F92" w:rsidRPr="00636219" w:rsidRDefault="005E3F92" w:rsidP="00D81598">
            <w:pPr>
              <w:pStyle w:val="Smn"/>
              <w:numPr>
                <w:ilvl w:val="0"/>
                <w:numId w:val="41"/>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Asigură un punct de încărcare pe coridorul județean principal, util pentru locuitori, turiști și flote publice.</w:t>
            </w:r>
          </w:p>
          <w:p w14:paraId="05EAA71E" w14:textId="77777777" w:rsidR="005E3F92" w:rsidRPr="00636219" w:rsidRDefault="005E3F92" w:rsidP="00D81598">
            <w:pPr>
              <w:pStyle w:val="Smn"/>
              <w:numPr>
                <w:ilvl w:val="0"/>
                <w:numId w:val="41"/>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Reduce emisiile și zgomotul în localități prin trecerea graduală la vehicule cu emisii reduse.</w:t>
            </w:r>
          </w:p>
          <w:p w14:paraId="1619DC07" w14:textId="77777777" w:rsidR="005E3F92" w:rsidRPr="00636219" w:rsidRDefault="005E3F92" w:rsidP="00D81598">
            <w:pPr>
              <w:pStyle w:val="Smn"/>
              <w:numPr>
                <w:ilvl w:val="0"/>
                <w:numId w:val="41"/>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Sprijină operarea autobuzelor electrice pe rutele județene (depozit de încărcare în proximitate).</w:t>
            </w:r>
          </w:p>
          <w:p w14:paraId="791ABFDF" w14:textId="77777777" w:rsidR="005E3F92" w:rsidRPr="00636219" w:rsidRDefault="005E3F92" w:rsidP="00D81598">
            <w:pPr>
              <w:pStyle w:val="Smn"/>
              <w:numPr>
                <w:ilvl w:val="0"/>
                <w:numId w:val="41"/>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Valorifică proximitatea proiectelor de energie regenerabilă prin potențiale contracte de furnizare verde.</w:t>
            </w:r>
          </w:p>
          <w:p w14:paraId="34B6796D" w14:textId="409DB600" w:rsidR="005E3F92" w:rsidRPr="00636219" w:rsidRDefault="005E3F92" w:rsidP="00D81598">
            <w:pPr>
              <w:pStyle w:val="Smn"/>
              <w:numPr>
                <w:ilvl w:val="0"/>
                <w:numId w:val="41"/>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Poate fi scalat: se pornește cu un număr limitat de stații, cu posibilitate de extindere în funcție de utilizare.</w:t>
            </w:r>
          </w:p>
          <w:p w14:paraId="0D5BC68F" w14:textId="7B47DE59" w:rsidR="005E3F92" w:rsidRPr="00636219" w:rsidRDefault="005E3F92" w:rsidP="005E3F92">
            <w:pPr>
              <w:pStyle w:val="Smn"/>
              <w:spacing w:before="0" w:after="0"/>
              <w:contextualSpacing/>
              <w:rPr>
                <w:rFonts w:ascii="Times New Roman" w:hAnsi="Times New Roman" w:cs="Times New Roman"/>
                <w:color w:val="auto"/>
                <w:sz w:val="20"/>
                <w:szCs w:val="20"/>
              </w:rPr>
            </w:pPr>
          </w:p>
        </w:tc>
      </w:tr>
      <w:tr w:rsidR="005E3F92" w:rsidRPr="007D3D4F" w14:paraId="04D5A181" w14:textId="77777777" w:rsidTr="00E86ADB">
        <w:trPr>
          <w:jc w:val="center"/>
        </w:trPr>
        <w:tc>
          <w:tcPr>
            <w:tcW w:w="0" w:type="auto"/>
            <w:shd w:val="clear" w:color="auto" w:fill="E7E6E6" w:themeFill="background2"/>
            <w:vAlign w:val="center"/>
          </w:tcPr>
          <w:p w14:paraId="0221F7CC"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6C2BFEA2" w14:textId="54AD4BD0" w:rsidR="005E3F92" w:rsidRPr="005F4E72" w:rsidRDefault="005E3F92" w:rsidP="005E3F92">
            <w:pPr>
              <w:pStyle w:val="Smn"/>
              <w:spacing w:before="0" w:after="0"/>
              <w:contextualSpacing/>
              <w:rPr>
                <w:rFonts w:ascii="Times New Roman" w:hAnsi="Times New Roman" w:cs="Times New Roman"/>
                <w:color w:val="auto"/>
                <w:sz w:val="20"/>
                <w:szCs w:val="20"/>
              </w:rPr>
            </w:pPr>
            <w:r w:rsidRPr="00636219">
              <w:rPr>
                <w:rFonts w:ascii="Times New Roman" w:hAnsi="Times New Roman" w:cs="Times New Roman"/>
                <w:color w:val="auto"/>
                <w:sz w:val="20"/>
                <w:szCs w:val="20"/>
              </w:rPr>
              <w:t>Centru logistic rural Baia – cross-dock agricol</w:t>
            </w:r>
          </w:p>
        </w:tc>
        <w:tc>
          <w:tcPr>
            <w:tcW w:w="624" w:type="pct"/>
            <w:shd w:val="clear" w:color="auto" w:fill="E7E6E6" w:themeFill="background2"/>
          </w:tcPr>
          <w:p w14:paraId="6ED48F87" w14:textId="006E992C" w:rsidR="005E3F92" w:rsidRPr="00D62560" w:rsidRDefault="005E3F92" w:rsidP="005E3F92">
            <w:pPr>
              <w:pStyle w:val="Smn"/>
              <w:spacing w:before="0" w:after="0"/>
              <w:contextualSpacing/>
              <w:jc w:val="center"/>
              <w:rPr>
                <w:rFonts w:ascii="Times New Roman" w:hAnsi="Times New Roman" w:cs="Times New Roman"/>
                <w:color w:val="auto"/>
                <w:sz w:val="20"/>
                <w:szCs w:val="20"/>
              </w:rPr>
            </w:pPr>
            <w:r w:rsidRPr="00D62560">
              <w:rPr>
                <w:rFonts w:ascii="Times New Roman" w:hAnsi="Times New Roman" w:cs="Times New Roman"/>
                <w:color w:val="auto"/>
                <w:sz w:val="20"/>
                <w:szCs w:val="20"/>
              </w:rPr>
              <w:t>UAT Comuna Baia</w:t>
            </w:r>
          </w:p>
        </w:tc>
        <w:tc>
          <w:tcPr>
            <w:tcW w:w="2952" w:type="pct"/>
            <w:shd w:val="clear" w:color="auto" w:fill="E7E6E6" w:themeFill="background2"/>
            <w:vAlign w:val="center"/>
          </w:tcPr>
          <w:p w14:paraId="7CC939A8" w14:textId="3F6E0FEF" w:rsidR="005E3F92" w:rsidRPr="00636219" w:rsidRDefault="005E3F92" w:rsidP="005E3F92">
            <w:pPr>
              <w:pStyle w:val="Smn"/>
              <w:spacing w:before="0" w:after="0"/>
              <w:contextualSpacing/>
              <w:rPr>
                <w:rFonts w:ascii="Times New Roman" w:hAnsi="Times New Roman" w:cs="Times New Roman"/>
                <w:b/>
                <w:bCs/>
                <w:color w:val="auto"/>
                <w:sz w:val="20"/>
                <w:szCs w:val="20"/>
              </w:rPr>
            </w:pPr>
            <w:r>
              <w:rPr>
                <w:rFonts w:ascii="Times New Roman" w:hAnsi="Times New Roman" w:cs="Times New Roman"/>
                <w:b/>
                <w:bCs/>
                <w:color w:val="auto"/>
                <w:sz w:val="20"/>
                <w:szCs w:val="20"/>
              </w:rPr>
              <w:t>Propunere Comuna Baia</w:t>
            </w:r>
          </w:p>
          <w:p w14:paraId="67313C50" w14:textId="77777777" w:rsidR="005E3F92" w:rsidRDefault="005E3F92" w:rsidP="005E3F92">
            <w:pPr>
              <w:pStyle w:val="Smn"/>
              <w:spacing w:before="0" w:after="0"/>
              <w:contextualSpacing/>
              <w:rPr>
                <w:rFonts w:ascii="Times New Roman" w:hAnsi="Times New Roman" w:cs="Times New Roman"/>
                <w:color w:val="auto"/>
                <w:sz w:val="20"/>
                <w:szCs w:val="20"/>
              </w:rPr>
            </w:pPr>
            <w:r w:rsidRPr="00636219">
              <w:rPr>
                <w:rFonts w:ascii="Times New Roman" w:hAnsi="Times New Roman" w:cs="Times New Roman"/>
                <w:color w:val="auto"/>
                <w:sz w:val="20"/>
                <w:szCs w:val="20"/>
              </w:rPr>
              <w:t xml:space="preserve">Se propune realizarea unui centru logistic rural pentru colectarea, sortarea și transbordarea rapidă a produselor agricole și a bunurilor locale, cu racorduri directe la DN22/E87. Proiectul prevede hală ușoară de cross-dock, rampe de încărcare–descărcare, platforme betonate pentru manevre, cântar auto, spații de depozitare pe termen scurt (inclusiv opțiune de lanț rece pentru produse perisabile), birou operare, zonă de parcare pentru camioane și microbuze, precum și un sistem digital simplu pentru programarea sloturilor de încărcare și trasabilitatea fluxurilor. Locația se va stabili prin studiu de amplasament, ținând cont de distanța optimă față de zonele de producție agricolă, de accesul la utilități și de posibilitatea extinderii. Proiectul va fi corelat </w:t>
            </w:r>
            <w:r w:rsidRPr="00636219">
              <w:rPr>
                <w:rFonts w:ascii="Times New Roman" w:hAnsi="Times New Roman" w:cs="Times New Roman"/>
                <w:color w:val="auto"/>
                <w:sz w:val="20"/>
                <w:szCs w:val="20"/>
              </w:rPr>
              <w:lastRenderedPageBreak/>
              <w:t>cu rețeaua rutieră locală și cu proiectele județene (hubul intermodal Tulcea), pentru a facilita livrări rapide către porturile dunărene sau către transportul feroviar.</w:t>
            </w:r>
          </w:p>
          <w:p w14:paraId="2B03E609" w14:textId="77777777" w:rsidR="005E3F92" w:rsidRPr="00636219" w:rsidRDefault="005E3F92" w:rsidP="005E3F92">
            <w:pPr>
              <w:pStyle w:val="Smn"/>
              <w:spacing w:before="0" w:after="0"/>
              <w:contextualSpacing/>
              <w:rPr>
                <w:rFonts w:ascii="Times New Roman" w:hAnsi="Times New Roman" w:cs="Times New Roman"/>
                <w:sz w:val="20"/>
                <w:szCs w:val="20"/>
              </w:rPr>
            </w:pPr>
            <w:r w:rsidRPr="00636219">
              <w:rPr>
                <w:rFonts w:ascii="Times New Roman" w:hAnsi="Times New Roman" w:cs="Times New Roman"/>
                <w:b/>
                <w:bCs/>
                <w:sz w:val="20"/>
                <w:szCs w:val="20"/>
              </w:rPr>
              <w:t>Roluri și avantaje ale centrului logistic:</w:t>
            </w:r>
          </w:p>
          <w:p w14:paraId="4F9C9F17" w14:textId="77777777" w:rsidR="005E3F92" w:rsidRPr="00636219" w:rsidRDefault="005E3F92" w:rsidP="00D81598">
            <w:pPr>
              <w:pStyle w:val="Smn"/>
              <w:numPr>
                <w:ilvl w:val="0"/>
                <w:numId w:val="42"/>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Reduce costurile logistice prin consolidarea transporturilor și scurtează timpii de încărcare.</w:t>
            </w:r>
          </w:p>
          <w:p w14:paraId="46901B8F" w14:textId="77777777" w:rsidR="005E3F92" w:rsidRPr="00636219" w:rsidRDefault="005E3F92" w:rsidP="00D81598">
            <w:pPr>
              <w:pStyle w:val="Smn"/>
              <w:numPr>
                <w:ilvl w:val="0"/>
                <w:numId w:val="42"/>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Degrevează interiorul localității de traficul greu, mutând manevrele în afara intravilanului.</w:t>
            </w:r>
          </w:p>
          <w:p w14:paraId="217E0D80" w14:textId="77777777" w:rsidR="005E3F92" w:rsidRPr="00636219" w:rsidRDefault="005E3F92" w:rsidP="00D81598">
            <w:pPr>
              <w:pStyle w:val="Smn"/>
              <w:numPr>
                <w:ilvl w:val="0"/>
                <w:numId w:val="42"/>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Îmbunătățește calitatea și trasabilitatea produselor (posibil lanț rece, cântărire certificată).</w:t>
            </w:r>
          </w:p>
          <w:p w14:paraId="7BD8A516" w14:textId="77777777" w:rsidR="005E3F92" w:rsidRPr="00636219" w:rsidRDefault="005E3F92" w:rsidP="00D81598">
            <w:pPr>
              <w:pStyle w:val="Smn"/>
              <w:numPr>
                <w:ilvl w:val="0"/>
                <w:numId w:val="42"/>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Creează premise pentru servicii logistice noi (ambalare, etichetare, colectare selectivă a deșeurilor).</w:t>
            </w:r>
          </w:p>
          <w:p w14:paraId="6B931691" w14:textId="2E6AFFD8" w:rsidR="005E3F92" w:rsidRPr="00636219" w:rsidRDefault="005E3F92" w:rsidP="00D81598">
            <w:pPr>
              <w:pStyle w:val="Smn"/>
              <w:numPr>
                <w:ilvl w:val="0"/>
                <w:numId w:val="42"/>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Conectează producătorii mici și medii la rutele principale către porturi și piața regională.</w:t>
            </w:r>
          </w:p>
        </w:tc>
      </w:tr>
      <w:tr w:rsidR="005E3F92" w:rsidRPr="007D3D4F" w14:paraId="0828C3E2" w14:textId="77777777" w:rsidTr="00E86ADB">
        <w:trPr>
          <w:jc w:val="center"/>
        </w:trPr>
        <w:tc>
          <w:tcPr>
            <w:tcW w:w="0" w:type="auto"/>
            <w:shd w:val="clear" w:color="auto" w:fill="E7E6E6" w:themeFill="background2"/>
            <w:vAlign w:val="center"/>
          </w:tcPr>
          <w:p w14:paraId="5EEAA5DD" w14:textId="77777777" w:rsidR="005E3F92" w:rsidRPr="007D3D4F" w:rsidRDefault="005E3F92" w:rsidP="00D81598">
            <w:pPr>
              <w:pStyle w:val="Smn"/>
              <w:numPr>
                <w:ilvl w:val="0"/>
                <w:numId w:val="36"/>
              </w:numPr>
              <w:spacing w:before="0" w:after="0"/>
              <w:ind w:left="527" w:hanging="357"/>
              <w:contextualSpacing/>
              <w:rPr>
                <w:rFonts w:ascii="Times New Roman" w:hAnsi="Times New Roman" w:cs="Times New Roman"/>
                <w:color w:val="auto"/>
                <w:sz w:val="20"/>
                <w:szCs w:val="20"/>
              </w:rPr>
            </w:pPr>
          </w:p>
        </w:tc>
        <w:tc>
          <w:tcPr>
            <w:tcW w:w="1227" w:type="pct"/>
            <w:shd w:val="clear" w:color="auto" w:fill="E7E6E6" w:themeFill="background2"/>
            <w:vAlign w:val="center"/>
          </w:tcPr>
          <w:p w14:paraId="6AE9F8EF" w14:textId="2C33B705" w:rsidR="005E3F92" w:rsidRPr="005F4E72" w:rsidRDefault="005E3F92" w:rsidP="005E3F92">
            <w:pPr>
              <w:pStyle w:val="Smn"/>
              <w:spacing w:before="0" w:after="0"/>
              <w:contextualSpacing/>
              <w:rPr>
                <w:rFonts w:ascii="Times New Roman" w:hAnsi="Times New Roman" w:cs="Times New Roman"/>
                <w:color w:val="auto"/>
                <w:sz w:val="20"/>
                <w:szCs w:val="20"/>
              </w:rPr>
            </w:pPr>
            <w:r w:rsidRPr="00636219">
              <w:rPr>
                <w:rFonts w:ascii="Times New Roman" w:hAnsi="Times New Roman" w:cs="Times New Roman"/>
                <w:color w:val="auto"/>
                <w:sz w:val="20"/>
                <w:szCs w:val="20"/>
              </w:rPr>
              <w:t>Punct intermodal Baia – autogară integrată + opțiune de oprire feroviară</w:t>
            </w:r>
          </w:p>
        </w:tc>
        <w:tc>
          <w:tcPr>
            <w:tcW w:w="624" w:type="pct"/>
            <w:shd w:val="clear" w:color="auto" w:fill="E7E6E6" w:themeFill="background2"/>
          </w:tcPr>
          <w:p w14:paraId="2CFFC703" w14:textId="4961E48D" w:rsidR="005E3F92" w:rsidRPr="00D62560" w:rsidRDefault="005E3F92" w:rsidP="005E3F92">
            <w:pPr>
              <w:pStyle w:val="Smn"/>
              <w:spacing w:before="0" w:after="0"/>
              <w:contextualSpacing/>
              <w:jc w:val="center"/>
              <w:rPr>
                <w:rFonts w:ascii="Times New Roman" w:hAnsi="Times New Roman" w:cs="Times New Roman"/>
                <w:color w:val="auto"/>
                <w:sz w:val="20"/>
                <w:szCs w:val="20"/>
              </w:rPr>
            </w:pPr>
            <w:r w:rsidRPr="00D62560">
              <w:rPr>
                <w:rFonts w:ascii="Times New Roman" w:hAnsi="Times New Roman" w:cs="Times New Roman"/>
                <w:color w:val="auto"/>
                <w:sz w:val="20"/>
                <w:szCs w:val="20"/>
              </w:rPr>
              <w:t>UAT Comuna Baia</w:t>
            </w:r>
          </w:p>
        </w:tc>
        <w:tc>
          <w:tcPr>
            <w:tcW w:w="2952" w:type="pct"/>
            <w:shd w:val="clear" w:color="auto" w:fill="E7E6E6" w:themeFill="background2"/>
            <w:vAlign w:val="center"/>
          </w:tcPr>
          <w:p w14:paraId="3AA671C5" w14:textId="612CD756" w:rsidR="005E3F92" w:rsidRDefault="005E3F92" w:rsidP="005E3F92">
            <w:pPr>
              <w:pStyle w:val="Smn"/>
              <w:spacing w:before="0" w:after="0"/>
              <w:contextualSpacing/>
              <w:rPr>
                <w:rFonts w:ascii="Times New Roman" w:hAnsi="Times New Roman" w:cs="Times New Roman"/>
                <w:b/>
                <w:bCs/>
                <w:color w:val="auto"/>
                <w:sz w:val="20"/>
                <w:szCs w:val="20"/>
              </w:rPr>
            </w:pPr>
            <w:r>
              <w:rPr>
                <w:rFonts w:ascii="Times New Roman" w:hAnsi="Times New Roman" w:cs="Times New Roman"/>
                <w:b/>
                <w:bCs/>
                <w:color w:val="auto"/>
                <w:sz w:val="20"/>
                <w:szCs w:val="20"/>
              </w:rPr>
              <w:t>Propunere Comuna Baia</w:t>
            </w:r>
          </w:p>
          <w:p w14:paraId="65B7C63C" w14:textId="3BC8C10B" w:rsidR="005E3F92" w:rsidRDefault="005E3F92" w:rsidP="005E3F92">
            <w:pPr>
              <w:pStyle w:val="Smn"/>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Se propune amenajarea unei autogări locale integrate în rețeaua județeană de transport, cu peroane pentru autobuze și microbuze, spații pentru așteptare, informare și vânzarea/validarea biletelor, parcare de tip „park and ride” și rasteluri pentru biciclete. Proiectul prevede interfața cu platforma județeană de mobilitate (orare, informare în timp real, bilet unic), precum și amenajarea unor trasee pietonale sigure de legătură. În paralel, se analizează împreună cu administratorul infrastructurii feroviare posibilitatea modernizării sau relocării punctului de oprire pe linia Medgidia–Tulcea, în măsura în care studiile de trafic și de operare arată un nivel de utilizare justificat. Amplasamentul și configurația finală se stabilesc prin studiu de localizare și prin documentațiile tehnice.</w:t>
            </w:r>
          </w:p>
          <w:p w14:paraId="2F2FBBC5" w14:textId="77777777" w:rsidR="005E3F92" w:rsidRPr="00636219" w:rsidRDefault="005E3F92" w:rsidP="005E3F92">
            <w:pPr>
              <w:pStyle w:val="Smn"/>
              <w:spacing w:before="0" w:after="0"/>
              <w:contextualSpacing/>
              <w:rPr>
                <w:rFonts w:ascii="Times New Roman" w:hAnsi="Times New Roman" w:cs="Times New Roman"/>
                <w:sz w:val="20"/>
                <w:szCs w:val="20"/>
              </w:rPr>
            </w:pPr>
            <w:r w:rsidRPr="00636219">
              <w:rPr>
                <w:rFonts w:ascii="Times New Roman" w:hAnsi="Times New Roman" w:cs="Times New Roman"/>
                <w:b/>
                <w:bCs/>
                <w:sz w:val="20"/>
                <w:szCs w:val="20"/>
              </w:rPr>
              <w:t>Roluri și avantaje ale punctului intermodal:</w:t>
            </w:r>
          </w:p>
          <w:p w14:paraId="554341BE" w14:textId="77777777" w:rsidR="005E3F92" w:rsidRPr="00636219" w:rsidRDefault="005E3F92" w:rsidP="00D81598">
            <w:pPr>
              <w:pStyle w:val="Smn"/>
              <w:numPr>
                <w:ilvl w:val="0"/>
                <w:numId w:val="43"/>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Asigură transfer comod între transportul rutier județean și trenurile de călători Tulcea–Constanța (dacă oprirea feroviară se validează).</w:t>
            </w:r>
          </w:p>
          <w:p w14:paraId="103DF350" w14:textId="77777777" w:rsidR="005E3F92" w:rsidRPr="00636219" w:rsidRDefault="005E3F92" w:rsidP="00D81598">
            <w:pPr>
              <w:pStyle w:val="Smn"/>
              <w:numPr>
                <w:ilvl w:val="0"/>
                <w:numId w:val="43"/>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Reduce dependența de transportul individual, scăzând presiunea asupra DN22/E87.</w:t>
            </w:r>
          </w:p>
          <w:p w14:paraId="33ABFD02" w14:textId="77777777" w:rsidR="005E3F92" w:rsidRPr="00636219" w:rsidRDefault="005E3F92" w:rsidP="00D81598">
            <w:pPr>
              <w:pStyle w:val="Smn"/>
              <w:numPr>
                <w:ilvl w:val="0"/>
                <w:numId w:val="43"/>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Crește accesibilitatea către servicii publice, educație și locuri de muncă din centrele urbane.</w:t>
            </w:r>
          </w:p>
          <w:p w14:paraId="6816115D" w14:textId="77777777" w:rsidR="005E3F92" w:rsidRPr="00636219" w:rsidRDefault="005E3F92" w:rsidP="00D81598">
            <w:pPr>
              <w:pStyle w:val="Smn"/>
              <w:numPr>
                <w:ilvl w:val="0"/>
                <w:numId w:val="43"/>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Susține turismul local prin conexiuni clare către rutele spre lacul Razelm și zona costieră.</w:t>
            </w:r>
          </w:p>
          <w:p w14:paraId="39D82CE7" w14:textId="124AF058" w:rsidR="005E3F92" w:rsidRPr="00636219" w:rsidRDefault="005E3F92" w:rsidP="00D81598">
            <w:pPr>
              <w:pStyle w:val="Smn"/>
              <w:numPr>
                <w:ilvl w:val="0"/>
                <w:numId w:val="43"/>
              </w:numPr>
              <w:spacing w:before="0" w:after="0"/>
              <w:contextualSpacing/>
              <w:rPr>
                <w:rFonts w:ascii="Times New Roman" w:hAnsi="Times New Roman" w:cs="Times New Roman"/>
                <w:sz w:val="20"/>
                <w:szCs w:val="20"/>
              </w:rPr>
            </w:pPr>
            <w:r w:rsidRPr="00636219">
              <w:rPr>
                <w:rFonts w:ascii="Times New Roman" w:hAnsi="Times New Roman" w:cs="Times New Roman"/>
                <w:sz w:val="20"/>
                <w:szCs w:val="20"/>
              </w:rPr>
              <w:t>Permite operarea eficientă a curselor (orare armonizate, informare în timp real, bilet unic).</w:t>
            </w:r>
          </w:p>
          <w:p w14:paraId="6B827E00" w14:textId="6E784E54" w:rsidR="005E3F92" w:rsidRDefault="005E3F92" w:rsidP="005E3F92">
            <w:pPr>
              <w:pStyle w:val="Smn"/>
              <w:spacing w:before="0" w:after="0"/>
              <w:contextualSpacing/>
              <w:rPr>
                <w:rFonts w:ascii="Times New Roman" w:hAnsi="Times New Roman" w:cs="Times New Roman"/>
                <w:b/>
                <w:bCs/>
                <w:color w:val="auto"/>
                <w:sz w:val="20"/>
                <w:szCs w:val="20"/>
              </w:rPr>
            </w:pPr>
          </w:p>
        </w:tc>
      </w:tr>
    </w:tbl>
    <w:p w14:paraId="7975D5FE" w14:textId="77777777" w:rsidR="00C91C40" w:rsidRPr="007D3D4F" w:rsidRDefault="00C91C40" w:rsidP="004C072F">
      <w:pPr>
        <w:pStyle w:val="Smn"/>
        <w:contextualSpacing/>
        <w:rPr>
          <w:rFonts w:ascii="Times New Roman" w:hAnsi="Times New Roman" w:cs="Times New Roman"/>
          <w:sz w:val="22"/>
          <w:szCs w:val="22"/>
        </w:rPr>
        <w:sectPr w:rsidR="00C91C40" w:rsidRPr="007D3D4F" w:rsidSect="00C91C40">
          <w:footerReference w:type="default" r:id="rId42"/>
          <w:pgSz w:w="15840" w:h="12240" w:orient="landscape"/>
          <w:pgMar w:top="1440" w:right="1440" w:bottom="1440" w:left="1440" w:header="720" w:footer="720" w:gutter="0"/>
          <w:cols w:space="720"/>
          <w:docGrid w:linePitch="360"/>
        </w:sectPr>
      </w:pPr>
    </w:p>
    <w:bookmarkEnd w:id="10"/>
    <w:p w14:paraId="5C051196" w14:textId="453519E3" w:rsidR="00B61F4B" w:rsidRPr="007D3D4F" w:rsidRDefault="00A61497" w:rsidP="00A61497">
      <w:pPr>
        <w:pStyle w:val="Smn"/>
        <w:contextualSpacing/>
        <w:rPr>
          <w:rFonts w:ascii="Times New Roman" w:hAnsi="Times New Roman" w:cs="Times New Roman"/>
          <w:sz w:val="22"/>
          <w:szCs w:val="22"/>
        </w:rPr>
      </w:pPr>
      <w:r w:rsidRPr="007D3D4F">
        <w:rPr>
          <w:rFonts w:ascii="Times New Roman" w:hAnsi="Times New Roman" w:cs="Times New Roman"/>
          <w:noProof/>
          <w:lang w:eastAsia="ro-RO"/>
        </w:rPr>
        <w:lastRenderedPageBreak/>
        <w:drawing>
          <wp:anchor distT="0" distB="0" distL="114300" distR="114300" simplePos="0" relativeHeight="251747328" behindDoc="0" locked="0" layoutInCell="1" allowOverlap="1" wp14:anchorId="212F01B1" wp14:editId="0DE77A45">
            <wp:simplePos x="0" y="0"/>
            <wp:positionH relativeFrom="column">
              <wp:posOffset>-935355</wp:posOffset>
            </wp:positionH>
            <wp:positionV relativeFrom="paragraph">
              <wp:posOffset>-1467618</wp:posOffset>
            </wp:positionV>
            <wp:extent cx="13216890" cy="10322623"/>
            <wp:effectExtent l="0" t="0" r="3810" b="2540"/>
            <wp:wrapNone/>
            <wp:docPr id="965325508" name="Picture 96532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6890" cy="1032262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61F4B" w:rsidRPr="007D3D4F" w:rsidSect="00E00447">
      <w:headerReference w:type="even" r:id="rId43"/>
      <w:headerReference w:type="default" r:id="rId44"/>
      <w:footerReference w:type="default" r:id="rId45"/>
      <w:head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C7294" w14:textId="77777777" w:rsidR="00D81598" w:rsidRDefault="00D81598" w:rsidP="00784853">
      <w:pPr>
        <w:spacing w:after="0" w:line="240" w:lineRule="auto"/>
      </w:pPr>
      <w:r>
        <w:separator/>
      </w:r>
    </w:p>
  </w:endnote>
  <w:endnote w:type="continuationSeparator" w:id="0">
    <w:p w14:paraId="09DA606E" w14:textId="77777777" w:rsidR="00D81598" w:rsidRDefault="00D81598" w:rsidP="00784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513EB" w14:textId="38BEA1CD" w:rsidR="00137013" w:rsidRPr="00333AE8" w:rsidRDefault="00333AE8" w:rsidP="00333AE8">
    <w:pPr>
      <w:pStyle w:val="Subsol"/>
    </w:pPr>
    <w:r>
      <w:rPr>
        <w:noProof/>
        <w:lang w:eastAsia="ro-RO"/>
      </w:rPr>
      <mc:AlternateContent>
        <mc:Choice Requires="wps">
          <w:drawing>
            <wp:anchor distT="0" distB="0" distL="114300" distR="114300" simplePos="0" relativeHeight="251655680" behindDoc="1" locked="0" layoutInCell="1" allowOverlap="1" wp14:anchorId="04520EF1" wp14:editId="04B78FFC">
              <wp:simplePos x="0" y="0"/>
              <wp:positionH relativeFrom="column">
                <wp:posOffset>-914400</wp:posOffset>
              </wp:positionH>
              <wp:positionV relativeFrom="paragraph">
                <wp:posOffset>-233916</wp:posOffset>
              </wp:positionV>
              <wp:extent cx="7793281" cy="903147"/>
              <wp:effectExtent l="0" t="0" r="0" b="0"/>
              <wp:wrapNone/>
              <wp:docPr id="102490897" name="Rectangle 42"/>
              <wp:cNvGraphicFramePr/>
              <a:graphic xmlns:a="http://schemas.openxmlformats.org/drawingml/2006/main">
                <a:graphicData uri="http://schemas.microsoft.com/office/word/2010/wordprocessingShape">
                  <wps:wsp>
                    <wps:cNvSpPr/>
                    <wps:spPr>
                      <a:xfrm>
                        <a:off x="0" y="0"/>
                        <a:ext cx="7793281" cy="903147"/>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039D84" w14:textId="77777777" w:rsidR="00333AE8" w:rsidRPr="004F5A5F" w:rsidRDefault="00333AE8" w:rsidP="00333AE8">
                          <w:pPr>
                            <w:jc w:val="center"/>
                            <w:rPr>
                              <w:rFonts w:ascii="Times New Roman" w:hAnsi="Times New Roman" w:cs="Times New Roman"/>
                              <w:b/>
                              <w:bCs/>
                              <w:color w:val="FFFFFF" w:themeColor="background1"/>
                              <w:sz w:val="20"/>
                              <w:szCs w:val="20"/>
                            </w:rPr>
                          </w:pPr>
                          <w:r w:rsidRPr="004F5A5F">
                            <w:rPr>
                              <w:rFonts w:ascii="Times New Roman" w:hAnsi="Times New Roman" w:cs="Times New Roman"/>
                              <w:b/>
                              <w:bCs/>
                              <w:color w:val="FFFFFF" w:themeColor="background1"/>
                              <w:sz w:val="20"/>
                              <w:szCs w:val="20"/>
                            </w:rPr>
                            <w:fldChar w:fldCharType="begin"/>
                          </w:r>
                          <w:r w:rsidRPr="004F5A5F">
                            <w:rPr>
                              <w:rFonts w:ascii="Times New Roman" w:hAnsi="Times New Roman" w:cs="Times New Roman"/>
                              <w:b/>
                              <w:bCs/>
                              <w:color w:val="FFFFFF" w:themeColor="background1"/>
                              <w:sz w:val="20"/>
                              <w:szCs w:val="20"/>
                            </w:rPr>
                            <w:instrText xml:space="preserve"> PAGE   \* MERGEFORMAT </w:instrText>
                          </w:r>
                          <w:r w:rsidRPr="004F5A5F">
                            <w:rPr>
                              <w:rFonts w:ascii="Times New Roman" w:hAnsi="Times New Roman" w:cs="Times New Roman"/>
                              <w:b/>
                              <w:bCs/>
                              <w:color w:val="FFFFFF" w:themeColor="background1"/>
                              <w:sz w:val="20"/>
                              <w:szCs w:val="20"/>
                            </w:rPr>
                            <w:fldChar w:fldCharType="separate"/>
                          </w:r>
                          <w:r w:rsidR="008F4E25">
                            <w:rPr>
                              <w:rFonts w:ascii="Times New Roman" w:hAnsi="Times New Roman" w:cs="Times New Roman"/>
                              <w:b/>
                              <w:bCs/>
                              <w:noProof/>
                              <w:color w:val="FFFFFF" w:themeColor="background1"/>
                              <w:sz w:val="20"/>
                              <w:szCs w:val="20"/>
                            </w:rPr>
                            <w:t>1</w:t>
                          </w:r>
                          <w:r w:rsidRPr="004F5A5F">
                            <w:rPr>
                              <w:rFonts w:ascii="Times New Roman" w:hAnsi="Times New Roman" w:cs="Times New Roman"/>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20EF1" id="Rectangle 42" o:spid="_x0000_s1027" style="position:absolute;margin-left:-1in;margin-top:-18.4pt;width:613.65pt;height:7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" fillcolor="#2a4a85 [2148]" stroked="f">
              <v:fill color2="#8eaadb [1940]" rotate="t" angle="180" colors="0 #2a4b86;31457f #4a76c6;1 #8faadc" focus="100%" type="gradient"/>
              <v:textbox>
                <w:txbxContent>
                  <w:p w14:paraId="2F039D84" w14:textId="77777777" w:rsidR="00333AE8" w:rsidRPr="004F5A5F" w:rsidRDefault="00333AE8" w:rsidP="00333AE8">
                    <w:pPr>
                      <w:jc w:val="center"/>
                      <w:rPr>
                        <w:rFonts w:ascii="Times New Roman" w:hAnsi="Times New Roman" w:cs="Times New Roman"/>
                        <w:b/>
                        <w:bCs/>
                        <w:color w:val="FFFFFF" w:themeColor="background1"/>
                        <w:sz w:val="20"/>
                        <w:szCs w:val="20"/>
                      </w:rPr>
                    </w:pPr>
                    <w:r w:rsidRPr="004F5A5F">
                      <w:rPr>
                        <w:rFonts w:ascii="Times New Roman" w:hAnsi="Times New Roman" w:cs="Times New Roman"/>
                        <w:b/>
                        <w:bCs/>
                        <w:color w:val="FFFFFF" w:themeColor="background1"/>
                        <w:sz w:val="20"/>
                        <w:szCs w:val="20"/>
                      </w:rPr>
                      <w:fldChar w:fldCharType="begin"/>
                    </w:r>
                    <w:r w:rsidRPr="004F5A5F">
                      <w:rPr>
                        <w:rFonts w:ascii="Times New Roman" w:hAnsi="Times New Roman" w:cs="Times New Roman"/>
                        <w:b/>
                        <w:bCs/>
                        <w:color w:val="FFFFFF" w:themeColor="background1"/>
                        <w:sz w:val="20"/>
                        <w:szCs w:val="20"/>
                      </w:rPr>
                      <w:instrText xml:space="preserve"> PAGE   \* MERGEFORMAT </w:instrText>
                    </w:r>
                    <w:r w:rsidRPr="004F5A5F">
                      <w:rPr>
                        <w:rFonts w:ascii="Times New Roman" w:hAnsi="Times New Roman" w:cs="Times New Roman"/>
                        <w:b/>
                        <w:bCs/>
                        <w:color w:val="FFFFFF" w:themeColor="background1"/>
                        <w:sz w:val="20"/>
                        <w:szCs w:val="20"/>
                      </w:rPr>
                      <w:fldChar w:fldCharType="separate"/>
                    </w:r>
                    <w:r w:rsidR="008F4E25">
                      <w:rPr>
                        <w:rFonts w:ascii="Times New Roman" w:hAnsi="Times New Roman" w:cs="Times New Roman"/>
                        <w:b/>
                        <w:bCs/>
                        <w:noProof/>
                        <w:color w:val="FFFFFF" w:themeColor="background1"/>
                        <w:sz w:val="20"/>
                        <w:szCs w:val="20"/>
                      </w:rPr>
                      <w:t>1</w:t>
                    </w:r>
                    <w:r w:rsidRPr="004F5A5F">
                      <w:rPr>
                        <w:rFonts w:ascii="Times New Roman" w:hAnsi="Times New Roman" w:cs="Times New Roman"/>
                        <w:b/>
                        <w:bCs/>
                        <w:noProof/>
                        <w:color w:val="FFFFFF" w:themeColor="background1"/>
                        <w:sz w:val="20"/>
                        <w:szCs w:val="20"/>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F4F59" w14:textId="3F42B0A3" w:rsidR="007C2554" w:rsidRDefault="00A44E90" w:rsidP="004A44D9">
    <w:pPr>
      <w:pStyle w:val="Subsol"/>
      <w:jc w:val="right"/>
    </w:pPr>
    <w:r>
      <w:rPr>
        <w:noProof/>
        <w:lang w:eastAsia="ro-RO"/>
      </w:rPr>
      <mc:AlternateContent>
        <mc:Choice Requires="wps">
          <w:drawing>
            <wp:anchor distT="0" distB="0" distL="114300" distR="114300" simplePos="0" relativeHeight="251656704" behindDoc="1" locked="0" layoutInCell="1" allowOverlap="1" wp14:anchorId="7C7F401E" wp14:editId="79A5EB31">
              <wp:simplePos x="0" y="0"/>
              <wp:positionH relativeFrom="column">
                <wp:posOffset>-935664</wp:posOffset>
              </wp:positionH>
              <wp:positionV relativeFrom="paragraph">
                <wp:posOffset>-222590</wp:posOffset>
              </wp:positionV>
              <wp:extent cx="10068870" cy="903147"/>
              <wp:effectExtent l="0" t="0" r="8890" b="0"/>
              <wp:wrapNone/>
              <wp:docPr id="1139928137" name="Rectangle 42"/>
              <wp:cNvGraphicFramePr/>
              <a:graphic xmlns:a="http://schemas.openxmlformats.org/drawingml/2006/main">
                <a:graphicData uri="http://schemas.microsoft.com/office/word/2010/wordprocessingShape">
                  <wps:wsp>
                    <wps:cNvSpPr/>
                    <wps:spPr>
                      <a:xfrm>
                        <a:off x="0" y="0"/>
                        <a:ext cx="10068870" cy="903147"/>
                      </a:xfrm>
                      <a:prstGeom prst="rect">
                        <a:avLst/>
                      </a:pr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14:paraId="26EF23F2" w14:textId="77777777" w:rsidR="00A44E90" w:rsidRPr="004F5A5F" w:rsidRDefault="00A44E90" w:rsidP="00A44E90">
                          <w:pPr>
                            <w:jc w:val="center"/>
                            <w:rPr>
                              <w:rFonts w:ascii="Times New Roman" w:hAnsi="Times New Roman" w:cs="Times New Roman"/>
                              <w:b/>
                              <w:bCs/>
                              <w:color w:val="FFFFFF" w:themeColor="background1"/>
                              <w:sz w:val="20"/>
                              <w:szCs w:val="20"/>
                            </w:rPr>
                          </w:pPr>
                          <w:r w:rsidRPr="004F5A5F">
                            <w:rPr>
                              <w:rFonts w:ascii="Times New Roman" w:hAnsi="Times New Roman" w:cs="Times New Roman"/>
                              <w:b/>
                              <w:bCs/>
                              <w:color w:val="FFFFFF" w:themeColor="background1"/>
                              <w:sz w:val="20"/>
                              <w:szCs w:val="20"/>
                            </w:rPr>
                            <w:fldChar w:fldCharType="begin"/>
                          </w:r>
                          <w:r w:rsidRPr="004F5A5F">
                            <w:rPr>
                              <w:rFonts w:ascii="Times New Roman" w:hAnsi="Times New Roman" w:cs="Times New Roman"/>
                              <w:b/>
                              <w:bCs/>
                              <w:color w:val="FFFFFF" w:themeColor="background1"/>
                              <w:sz w:val="20"/>
                              <w:szCs w:val="20"/>
                            </w:rPr>
                            <w:instrText xml:space="preserve"> PAGE   \* MERGEFORMAT </w:instrText>
                          </w:r>
                          <w:r w:rsidRPr="004F5A5F">
                            <w:rPr>
                              <w:rFonts w:ascii="Times New Roman" w:hAnsi="Times New Roman" w:cs="Times New Roman"/>
                              <w:b/>
                              <w:bCs/>
                              <w:color w:val="FFFFFF" w:themeColor="background1"/>
                              <w:sz w:val="20"/>
                              <w:szCs w:val="20"/>
                            </w:rPr>
                            <w:fldChar w:fldCharType="separate"/>
                          </w:r>
                          <w:r w:rsidR="008F4E25">
                            <w:rPr>
                              <w:rFonts w:ascii="Times New Roman" w:hAnsi="Times New Roman" w:cs="Times New Roman"/>
                              <w:b/>
                              <w:bCs/>
                              <w:noProof/>
                              <w:color w:val="FFFFFF" w:themeColor="background1"/>
                              <w:sz w:val="20"/>
                              <w:szCs w:val="20"/>
                            </w:rPr>
                            <w:t>51</w:t>
                          </w:r>
                          <w:r w:rsidRPr="004F5A5F">
                            <w:rPr>
                              <w:rFonts w:ascii="Times New Roman" w:hAnsi="Times New Roman" w:cs="Times New Roman"/>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7F401E" id="_x0000_s1028" style="position:absolute;left:0;text-align:left;margin-left:-73.65pt;margin-top:-17.55pt;width:792.8pt;height:7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" fillcolor="#2a4b86" stroked="f">
              <v:fill color2="#8faadc" rotate="t" angle="180" colors="0 #2a4b86;31457f #4a76c6;1 #8faadc" focus="100%" type="gradient"/>
              <v:textbox>
                <w:txbxContent>
                  <w:p w14:paraId="26EF23F2" w14:textId="77777777" w:rsidR="00A44E90" w:rsidRPr="004F5A5F" w:rsidRDefault="00A44E90" w:rsidP="00A44E90">
                    <w:pPr>
                      <w:jc w:val="center"/>
                      <w:rPr>
                        <w:rFonts w:ascii="Times New Roman" w:hAnsi="Times New Roman" w:cs="Times New Roman"/>
                        <w:b/>
                        <w:bCs/>
                        <w:color w:val="FFFFFF" w:themeColor="background1"/>
                        <w:sz w:val="20"/>
                        <w:szCs w:val="20"/>
                      </w:rPr>
                    </w:pPr>
                    <w:r w:rsidRPr="004F5A5F">
                      <w:rPr>
                        <w:rFonts w:ascii="Times New Roman" w:hAnsi="Times New Roman" w:cs="Times New Roman"/>
                        <w:b/>
                        <w:bCs/>
                        <w:color w:val="FFFFFF" w:themeColor="background1"/>
                        <w:sz w:val="20"/>
                        <w:szCs w:val="20"/>
                      </w:rPr>
                      <w:fldChar w:fldCharType="begin"/>
                    </w:r>
                    <w:r w:rsidRPr="004F5A5F">
                      <w:rPr>
                        <w:rFonts w:ascii="Times New Roman" w:hAnsi="Times New Roman" w:cs="Times New Roman"/>
                        <w:b/>
                        <w:bCs/>
                        <w:color w:val="FFFFFF" w:themeColor="background1"/>
                        <w:sz w:val="20"/>
                        <w:szCs w:val="20"/>
                      </w:rPr>
                      <w:instrText xml:space="preserve"> PAGE   \* MERGEFORMAT </w:instrText>
                    </w:r>
                    <w:r w:rsidRPr="004F5A5F">
                      <w:rPr>
                        <w:rFonts w:ascii="Times New Roman" w:hAnsi="Times New Roman" w:cs="Times New Roman"/>
                        <w:b/>
                        <w:bCs/>
                        <w:color w:val="FFFFFF" w:themeColor="background1"/>
                        <w:sz w:val="20"/>
                        <w:szCs w:val="20"/>
                      </w:rPr>
                      <w:fldChar w:fldCharType="separate"/>
                    </w:r>
                    <w:r w:rsidR="008F4E25">
                      <w:rPr>
                        <w:rFonts w:ascii="Times New Roman" w:hAnsi="Times New Roman" w:cs="Times New Roman"/>
                        <w:b/>
                        <w:bCs/>
                        <w:noProof/>
                        <w:color w:val="FFFFFF" w:themeColor="background1"/>
                        <w:sz w:val="20"/>
                        <w:szCs w:val="20"/>
                      </w:rPr>
                      <w:t>51</w:t>
                    </w:r>
                    <w:r w:rsidRPr="004F5A5F">
                      <w:rPr>
                        <w:rFonts w:ascii="Times New Roman" w:hAnsi="Times New Roman" w:cs="Times New Roman"/>
                        <w:b/>
                        <w:bCs/>
                        <w:noProof/>
                        <w:color w:val="FFFFFF" w:themeColor="background1"/>
                        <w:sz w:val="20"/>
                        <w:szCs w:val="20"/>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0E181" w14:textId="77777777" w:rsidR="00A44E90" w:rsidRDefault="00A44E90" w:rsidP="004A44D9">
    <w:pPr>
      <w:pStyle w:val="Subsol"/>
      <w:jc w:val="right"/>
    </w:pPr>
    <w:r>
      <w:rPr>
        <w:noProof/>
        <w:lang w:eastAsia="ro-RO"/>
      </w:rPr>
      <mc:AlternateContent>
        <mc:Choice Requires="wps">
          <w:drawing>
            <wp:anchor distT="0" distB="0" distL="114300" distR="114300" simplePos="0" relativeHeight="251657728" behindDoc="1" locked="0" layoutInCell="1" allowOverlap="1" wp14:anchorId="5F37DB5E" wp14:editId="780158CF">
              <wp:simplePos x="0" y="0"/>
              <wp:positionH relativeFrom="column">
                <wp:posOffset>-956931</wp:posOffset>
              </wp:positionH>
              <wp:positionV relativeFrom="paragraph">
                <wp:posOffset>-265814</wp:posOffset>
              </wp:positionV>
              <wp:extent cx="7793281" cy="903147"/>
              <wp:effectExtent l="0" t="0" r="0" b="0"/>
              <wp:wrapNone/>
              <wp:docPr id="296914730" name="Rectangle 42"/>
              <wp:cNvGraphicFramePr/>
              <a:graphic xmlns:a="http://schemas.openxmlformats.org/drawingml/2006/main">
                <a:graphicData uri="http://schemas.microsoft.com/office/word/2010/wordprocessingShape">
                  <wps:wsp>
                    <wps:cNvSpPr/>
                    <wps:spPr>
                      <a:xfrm>
                        <a:off x="0" y="0"/>
                        <a:ext cx="7793281" cy="903147"/>
                      </a:xfrm>
                      <a:prstGeom prst="rect">
                        <a:avLst/>
                      </a:pr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14:paraId="12B29C01" w14:textId="77777777" w:rsidR="00A44E90" w:rsidRPr="004F5A5F" w:rsidRDefault="00A44E90" w:rsidP="00A44E90">
                          <w:pPr>
                            <w:jc w:val="center"/>
                            <w:rPr>
                              <w:rFonts w:ascii="Times New Roman" w:hAnsi="Times New Roman" w:cs="Times New Roman"/>
                              <w:b/>
                              <w:bCs/>
                              <w:color w:val="FFFFFF" w:themeColor="background1"/>
                              <w:sz w:val="20"/>
                              <w:szCs w:val="20"/>
                            </w:rPr>
                          </w:pPr>
                          <w:r w:rsidRPr="004F5A5F">
                            <w:rPr>
                              <w:rFonts w:ascii="Times New Roman" w:hAnsi="Times New Roman" w:cs="Times New Roman"/>
                              <w:b/>
                              <w:bCs/>
                              <w:color w:val="FFFFFF" w:themeColor="background1"/>
                              <w:sz w:val="20"/>
                              <w:szCs w:val="20"/>
                            </w:rPr>
                            <w:fldChar w:fldCharType="begin"/>
                          </w:r>
                          <w:r w:rsidRPr="004F5A5F">
                            <w:rPr>
                              <w:rFonts w:ascii="Times New Roman" w:hAnsi="Times New Roman" w:cs="Times New Roman"/>
                              <w:b/>
                              <w:bCs/>
                              <w:color w:val="FFFFFF" w:themeColor="background1"/>
                              <w:sz w:val="20"/>
                              <w:szCs w:val="20"/>
                            </w:rPr>
                            <w:instrText xml:space="preserve"> PAGE   \* MERGEFORMAT </w:instrText>
                          </w:r>
                          <w:r w:rsidRPr="004F5A5F">
                            <w:rPr>
                              <w:rFonts w:ascii="Times New Roman" w:hAnsi="Times New Roman" w:cs="Times New Roman"/>
                              <w:b/>
                              <w:bCs/>
                              <w:color w:val="FFFFFF" w:themeColor="background1"/>
                              <w:sz w:val="20"/>
                              <w:szCs w:val="20"/>
                            </w:rPr>
                            <w:fldChar w:fldCharType="separate"/>
                          </w:r>
                          <w:r w:rsidR="008F4E25">
                            <w:rPr>
                              <w:rFonts w:ascii="Times New Roman" w:hAnsi="Times New Roman" w:cs="Times New Roman"/>
                              <w:b/>
                              <w:bCs/>
                              <w:noProof/>
                              <w:color w:val="FFFFFF" w:themeColor="background1"/>
                              <w:sz w:val="20"/>
                              <w:szCs w:val="20"/>
                            </w:rPr>
                            <w:t>69</w:t>
                          </w:r>
                          <w:r w:rsidRPr="004F5A5F">
                            <w:rPr>
                              <w:rFonts w:ascii="Times New Roman" w:hAnsi="Times New Roman" w:cs="Times New Roman"/>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37DB5E" id="_x0000_s1029" style="position:absolute;left:0;text-align:left;margin-left:-75.35pt;margin-top:-20.95pt;width:613.65pt;height:7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" fillcolor="#2a4b86" stroked="f">
              <v:fill color2="#8faadc" rotate="t" angle="180" colors="0 #2a4b86;31457f #4a76c6;1 #8faadc" focus="100%" type="gradient"/>
              <v:textbox>
                <w:txbxContent>
                  <w:p w14:paraId="12B29C01" w14:textId="77777777" w:rsidR="00A44E90" w:rsidRPr="004F5A5F" w:rsidRDefault="00A44E90" w:rsidP="00A44E90">
                    <w:pPr>
                      <w:jc w:val="center"/>
                      <w:rPr>
                        <w:rFonts w:ascii="Times New Roman" w:hAnsi="Times New Roman" w:cs="Times New Roman"/>
                        <w:b/>
                        <w:bCs/>
                        <w:color w:val="FFFFFF" w:themeColor="background1"/>
                        <w:sz w:val="20"/>
                        <w:szCs w:val="20"/>
                      </w:rPr>
                    </w:pPr>
                    <w:r w:rsidRPr="004F5A5F">
                      <w:rPr>
                        <w:rFonts w:ascii="Times New Roman" w:hAnsi="Times New Roman" w:cs="Times New Roman"/>
                        <w:b/>
                        <w:bCs/>
                        <w:color w:val="FFFFFF" w:themeColor="background1"/>
                        <w:sz w:val="20"/>
                        <w:szCs w:val="20"/>
                      </w:rPr>
                      <w:fldChar w:fldCharType="begin"/>
                    </w:r>
                    <w:r w:rsidRPr="004F5A5F">
                      <w:rPr>
                        <w:rFonts w:ascii="Times New Roman" w:hAnsi="Times New Roman" w:cs="Times New Roman"/>
                        <w:b/>
                        <w:bCs/>
                        <w:color w:val="FFFFFF" w:themeColor="background1"/>
                        <w:sz w:val="20"/>
                        <w:szCs w:val="20"/>
                      </w:rPr>
                      <w:instrText xml:space="preserve"> PAGE   \* MERGEFORMAT </w:instrText>
                    </w:r>
                    <w:r w:rsidRPr="004F5A5F">
                      <w:rPr>
                        <w:rFonts w:ascii="Times New Roman" w:hAnsi="Times New Roman" w:cs="Times New Roman"/>
                        <w:b/>
                        <w:bCs/>
                        <w:color w:val="FFFFFF" w:themeColor="background1"/>
                        <w:sz w:val="20"/>
                        <w:szCs w:val="20"/>
                      </w:rPr>
                      <w:fldChar w:fldCharType="separate"/>
                    </w:r>
                    <w:r w:rsidR="008F4E25">
                      <w:rPr>
                        <w:rFonts w:ascii="Times New Roman" w:hAnsi="Times New Roman" w:cs="Times New Roman"/>
                        <w:b/>
                        <w:bCs/>
                        <w:noProof/>
                        <w:color w:val="FFFFFF" w:themeColor="background1"/>
                        <w:sz w:val="20"/>
                        <w:szCs w:val="20"/>
                      </w:rPr>
                      <w:t>69</w:t>
                    </w:r>
                    <w:r w:rsidRPr="004F5A5F">
                      <w:rPr>
                        <w:rFonts w:ascii="Times New Roman" w:hAnsi="Times New Roman" w:cs="Times New Roman"/>
                        <w:b/>
                        <w:bCs/>
                        <w:noProof/>
                        <w:color w:val="FFFFFF" w:themeColor="background1"/>
                        <w:sz w:val="20"/>
                        <w:szCs w:val="20"/>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30706" w14:textId="77777777" w:rsidR="00A61497" w:rsidRDefault="00A61497" w:rsidP="004A44D9">
    <w:pPr>
      <w:pStyle w:val="Subsol"/>
      <w:jc w:val="right"/>
    </w:pPr>
    <w:r>
      <w:rPr>
        <w:noProof/>
        <w:lang w:eastAsia="ro-RO"/>
      </w:rPr>
      <mc:AlternateContent>
        <mc:Choice Requires="wps">
          <w:drawing>
            <wp:anchor distT="0" distB="0" distL="114300" distR="114300" simplePos="0" relativeHeight="251658752" behindDoc="1" locked="0" layoutInCell="1" allowOverlap="1" wp14:anchorId="227141CE" wp14:editId="0067A6F5">
              <wp:simplePos x="0" y="0"/>
              <wp:positionH relativeFrom="column">
                <wp:posOffset>-956930</wp:posOffset>
              </wp:positionH>
              <wp:positionV relativeFrom="paragraph">
                <wp:posOffset>-265120</wp:posOffset>
              </wp:positionV>
              <wp:extent cx="10100930" cy="903147"/>
              <wp:effectExtent l="0" t="0" r="0" b="0"/>
              <wp:wrapNone/>
              <wp:docPr id="1237752678" name="Rectangle 42"/>
              <wp:cNvGraphicFramePr/>
              <a:graphic xmlns:a="http://schemas.openxmlformats.org/drawingml/2006/main">
                <a:graphicData uri="http://schemas.microsoft.com/office/word/2010/wordprocessingShape">
                  <wps:wsp>
                    <wps:cNvSpPr/>
                    <wps:spPr>
                      <a:xfrm>
                        <a:off x="0" y="0"/>
                        <a:ext cx="10100930" cy="903147"/>
                      </a:xfrm>
                      <a:prstGeom prst="rect">
                        <a:avLst/>
                      </a:pr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14:paraId="312072BE" w14:textId="77777777" w:rsidR="00A61497" w:rsidRPr="004F5A5F" w:rsidRDefault="00A61497" w:rsidP="00A44E90">
                          <w:pPr>
                            <w:jc w:val="center"/>
                            <w:rPr>
                              <w:rFonts w:ascii="Times New Roman" w:hAnsi="Times New Roman" w:cs="Times New Roman"/>
                              <w:b/>
                              <w:bCs/>
                              <w:color w:val="FFFFFF" w:themeColor="background1"/>
                              <w:sz w:val="20"/>
                              <w:szCs w:val="20"/>
                            </w:rPr>
                          </w:pPr>
                          <w:r w:rsidRPr="004F5A5F">
                            <w:rPr>
                              <w:rFonts w:ascii="Times New Roman" w:hAnsi="Times New Roman" w:cs="Times New Roman"/>
                              <w:b/>
                              <w:bCs/>
                              <w:color w:val="FFFFFF" w:themeColor="background1"/>
                              <w:sz w:val="20"/>
                              <w:szCs w:val="20"/>
                            </w:rPr>
                            <w:fldChar w:fldCharType="begin"/>
                          </w:r>
                          <w:r w:rsidRPr="004F5A5F">
                            <w:rPr>
                              <w:rFonts w:ascii="Times New Roman" w:hAnsi="Times New Roman" w:cs="Times New Roman"/>
                              <w:b/>
                              <w:bCs/>
                              <w:color w:val="FFFFFF" w:themeColor="background1"/>
                              <w:sz w:val="20"/>
                              <w:szCs w:val="20"/>
                            </w:rPr>
                            <w:instrText xml:space="preserve"> PAGE   \* MERGEFORMAT </w:instrText>
                          </w:r>
                          <w:r w:rsidRPr="004F5A5F">
                            <w:rPr>
                              <w:rFonts w:ascii="Times New Roman" w:hAnsi="Times New Roman" w:cs="Times New Roman"/>
                              <w:b/>
                              <w:bCs/>
                              <w:color w:val="FFFFFF" w:themeColor="background1"/>
                              <w:sz w:val="20"/>
                              <w:szCs w:val="20"/>
                            </w:rPr>
                            <w:fldChar w:fldCharType="separate"/>
                          </w:r>
                          <w:r w:rsidR="008F4E25">
                            <w:rPr>
                              <w:rFonts w:ascii="Times New Roman" w:hAnsi="Times New Roman" w:cs="Times New Roman"/>
                              <w:b/>
                              <w:bCs/>
                              <w:noProof/>
                              <w:color w:val="FFFFFF" w:themeColor="background1"/>
                              <w:sz w:val="20"/>
                              <w:szCs w:val="20"/>
                            </w:rPr>
                            <w:t>88</w:t>
                          </w:r>
                          <w:r w:rsidRPr="004F5A5F">
                            <w:rPr>
                              <w:rFonts w:ascii="Times New Roman" w:hAnsi="Times New Roman" w:cs="Times New Roman"/>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7141CE" id="_x0000_s1030" style="position:absolute;left:0;text-align:left;margin-left:-75.35pt;margin-top:-20.9pt;width:795.35pt;height:7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" fillcolor="#2a4b86" stroked="f">
              <v:fill color2="#8faadc" rotate="t" angle="180" colors="0 #2a4b86;31457f #4a76c6;1 #8faadc" focus="100%" type="gradient"/>
              <v:textbox>
                <w:txbxContent>
                  <w:p w14:paraId="312072BE" w14:textId="77777777" w:rsidR="00A61497" w:rsidRPr="004F5A5F" w:rsidRDefault="00A61497" w:rsidP="00A44E90">
                    <w:pPr>
                      <w:jc w:val="center"/>
                      <w:rPr>
                        <w:rFonts w:ascii="Times New Roman" w:hAnsi="Times New Roman" w:cs="Times New Roman"/>
                        <w:b/>
                        <w:bCs/>
                        <w:color w:val="FFFFFF" w:themeColor="background1"/>
                        <w:sz w:val="20"/>
                        <w:szCs w:val="20"/>
                      </w:rPr>
                    </w:pPr>
                    <w:r w:rsidRPr="004F5A5F">
                      <w:rPr>
                        <w:rFonts w:ascii="Times New Roman" w:hAnsi="Times New Roman" w:cs="Times New Roman"/>
                        <w:b/>
                        <w:bCs/>
                        <w:color w:val="FFFFFF" w:themeColor="background1"/>
                        <w:sz w:val="20"/>
                        <w:szCs w:val="20"/>
                      </w:rPr>
                      <w:fldChar w:fldCharType="begin"/>
                    </w:r>
                    <w:r w:rsidRPr="004F5A5F">
                      <w:rPr>
                        <w:rFonts w:ascii="Times New Roman" w:hAnsi="Times New Roman" w:cs="Times New Roman"/>
                        <w:b/>
                        <w:bCs/>
                        <w:color w:val="FFFFFF" w:themeColor="background1"/>
                        <w:sz w:val="20"/>
                        <w:szCs w:val="20"/>
                      </w:rPr>
                      <w:instrText xml:space="preserve"> PAGE   \* MERGEFORMAT </w:instrText>
                    </w:r>
                    <w:r w:rsidRPr="004F5A5F">
                      <w:rPr>
                        <w:rFonts w:ascii="Times New Roman" w:hAnsi="Times New Roman" w:cs="Times New Roman"/>
                        <w:b/>
                        <w:bCs/>
                        <w:color w:val="FFFFFF" w:themeColor="background1"/>
                        <w:sz w:val="20"/>
                        <w:szCs w:val="20"/>
                      </w:rPr>
                      <w:fldChar w:fldCharType="separate"/>
                    </w:r>
                    <w:r w:rsidR="008F4E25">
                      <w:rPr>
                        <w:rFonts w:ascii="Times New Roman" w:hAnsi="Times New Roman" w:cs="Times New Roman"/>
                        <w:b/>
                        <w:bCs/>
                        <w:noProof/>
                        <w:color w:val="FFFFFF" w:themeColor="background1"/>
                        <w:sz w:val="20"/>
                        <w:szCs w:val="20"/>
                      </w:rPr>
                      <w:t>88</w:t>
                    </w:r>
                    <w:r w:rsidRPr="004F5A5F">
                      <w:rPr>
                        <w:rFonts w:ascii="Times New Roman" w:hAnsi="Times New Roman" w:cs="Times New Roman"/>
                        <w:b/>
                        <w:bCs/>
                        <w:noProof/>
                        <w:color w:val="FFFFFF" w:themeColor="background1"/>
                        <w:sz w:val="20"/>
                        <w:szCs w:val="20"/>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E9ED9" w14:textId="5D53F1B7" w:rsidR="007C2554" w:rsidRPr="00A61497" w:rsidRDefault="007C2554" w:rsidP="00A61497">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D99B1" w14:textId="77777777" w:rsidR="00D81598" w:rsidRDefault="00D81598" w:rsidP="00784853">
      <w:pPr>
        <w:spacing w:after="0" w:line="240" w:lineRule="auto"/>
      </w:pPr>
      <w:r>
        <w:separator/>
      </w:r>
    </w:p>
  </w:footnote>
  <w:footnote w:type="continuationSeparator" w:id="0">
    <w:p w14:paraId="7F66ADDC" w14:textId="77777777" w:rsidR="00D81598" w:rsidRDefault="00D81598" w:rsidP="00784853">
      <w:pPr>
        <w:spacing w:after="0" w:line="240" w:lineRule="auto"/>
      </w:pPr>
      <w:r>
        <w:continuationSeparator/>
      </w:r>
    </w:p>
  </w:footnote>
  <w:footnote w:id="1">
    <w:p w14:paraId="07B235AA"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EUR-lex, disponibil la adresa https://eur-lex.europa.eu/legal-content/EN/TXT/?uri=CELEX%3A02018R0858-20240701</w:t>
      </w:r>
    </w:p>
  </w:footnote>
  <w:footnote w:id="2">
    <w:p w14:paraId="5AC15E46"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Jurnalul Oficial al Uniunii Europene, Regulamentul (UE) 2023/851 al Parlamentului European și al Consiliului din 19 aprilie 2023 de modificare a Regulamentului (UE) 2019/631 în ceea ce privește consolidarea standardelor de performanță privind emisiile de CO2 pentru autoturismele noi și pentru vehiculele utilitare ușoare noi, în conformitate cu obiectivele climatice mai ambițioase ale Uniunii, disponibil la adresa https://eur-lex.europa.eu/legal-content/RO/TXT/PDF/?uri=CELEX:32023R0851</w:t>
      </w:r>
    </w:p>
  </w:footnote>
  <w:footnote w:id="3">
    <w:p w14:paraId="474A8104"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Jurnalul Oficial al Uniunii Europene, Regulamentul (UE) nr. 165/2014 al Parlamentului European și al Consiliului din 4 februarie 2014 privind tahografele în transportul rutier, de abrogare a Regulamentului (CEE) nr. 3821/85 al Consiliului privind aparatura de înregistrare în transportul rutier și de modificare a Regulamentului (CE) nr. 561/2006 al Parlamentului European și al Consiliului privind armonizarea anumitor dispoziții ale legislației sociale în domeniul transporturilor rutiere, disponibil la adresa https://eur-lex.europa.eu/legal-content/RO/TXT/PDF/?uri=CELEX:32014R0165</w:t>
      </w:r>
    </w:p>
  </w:footnote>
  <w:footnote w:id="4">
    <w:p w14:paraId="10444B46"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Jurnalul Oficial al Uniunii Europene, Directiva  (UE) 2019/1936 a Parlamentului European și a Consiliului din 23 octombrie 2019 de modificare a Directivei 2008/96/CE privind gestionarea siguranței infrastructurii rutiere, disponibil la adresa https://eur-lex.europa.eu/legal-content/RO/TXT/PDF/?uri=CELEX:32019L1936&amp;from=LV </w:t>
      </w:r>
    </w:p>
  </w:footnote>
  <w:footnote w:id="5">
    <w:p w14:paraId="27088796"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w:t>
      </w:r>
      <w:r w:rsidRPr="00C917FC">
        <w:rPr>
          <w:rFonts w:ascii="Times New Roman" w:hAnsi="Times New Roman" w:cs="Times New Roman"/>
          <w:sz w:val="16"/>
          <w:szCs w:val="16"/>
          <w:lang w:val="en-US"/>
        </w:rPr>
        <w:t xml:space="preserve">EUR-lex, </w:t>
      </w:r>
      <w:r w:rsidRPr="00C917FC">
        <w:rPr>
          <w:rFonts w:ascii="Times New Roman" w:hAnsi="Times New Roman" w:cs="Times New Roman"/>
          <w:sz w:val="16"/>
          <w:szCs w:val="16"/>
        </w:rPr>
        <w:t xml:space="preserve">Directiva (UE) 2016/797 a Parlamentului European și a Consiliului din 11 mai 2016 privind interoperabilitatea sistemului feroviar în Uniunea Europeană (reformare), disponibil la adresa https://eur-lex.europa.eu/legal-content/RO/TXT/PDF/?uri=CELEX:32016L0798 </w:t>
      </w:r>
    </w:p>
  </w:footnote>
  <w:footnote w:id="6">
    <w:p w14:paraId="0D464017"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w:t>
      </w:r>
      <w:r w:rsidRPr="00C917FC">
        <w:rPr>
          <w:rFonts w:ascii="Times New Roman" w:hAnsi="Times New Roman" w:cs="Times New Roman"/>
          <w:sz w:val="16"/>
          <w:szCs w:val="16"/>
          <w:lang w:val="en-US"/>
        </w:rPr>
        <w:t xml:space="preserve">EUR-lex, </w:t>
      </w:r>
      <w:r w:rsidRPr="00C917FC">
        <w:rPr>
          <w:rFonts w:ascii="Times New Roman" w:hAnsi="Times New Roman" w:cs="Times New Roman"/>
          <w:sz w:val="16"/>
          <w:szCs w:val="16"/>
        </w:rPr>
        <w:t>Directiva (UE) 2016/797 a Parlamentului European și a Consiliului din 11 mai 2016 privind interoperabilitatea sistemului feroviar în Uniunea Europeană (reformare), disponibila la adresa https://eur-lex.europa.eu/legal-content/RO/NIM/?uri=CELEX:32016L0797</w:t>
      </w:r>
    </w:p>
  </w:footnote>
  <w:footnote w:id="7">
    <w:p w14:paraId="5B15677A" w14:textId="77777777" w:rsidR="00AF66BB" w:rsidRPr="00C917FC" w:rsidRDefault="00AF66BB" w:rsidP="00AF66BB">
      <w:pPr>
        <w:pStyle w:val="Textnotdesubsol"/>
        <w:jc w:val="both"/>
        <w:rPr>
          <w:rFonts w:ascii="Times New Roman" w:hAnsi="Times New Roman" w:cs="Times New Roman"/>
          <w:b/>
          <w:bCs/>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w:t>
      </w:r>
      <w:r w:rsidRPr="00C917FC">
        <w:rPr>
          <w:rFonts w:ascii="Times New Roman" w:hAnsi="Times New Roman" w:cs="Times New Roman"/>
          <w:sz w:val="16"/>
          <w:szCs w:val="16"/>
          <w:lang w:val="en-US"/>
        </w:rPr>
        <w:t xml:space="preserve">EUR-lex, </w:t>
      </w:r>
      <w:r w:rsidRPr="00C917FC">
        <w:rPr>
          <w:rFonts w:ascii="Times New Roman" w:hAnsi="Times New Roman" w:cs="Times New Roman"/>
          <w:sz w:val="16"/>
          <w:szCs w:val="16"/>
        </w:rPr>
        <w:t>Directiva (UE) 2016/798 a Parlamentului European și a Consiliului din 11 mai 2016 privind siguranța feroviară (reformare) (Text cu relevanță pentru SEE), disponibil la adresa https://eur-lex.europa.eu/legal-content/RO/NIM/?uri=CELEX:32016L0798</w:t>
      </w:r>
    </w:p>
  </w:footnote>
  <w:footnote w:id="8">
    <w:p w14:paraId="5F2FAB34"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w:t>
      </w:r>
      <w:r w:rsidRPr="00C917FC">
        <w:rPr>
          <w:rFonts w:ascii="Times New Roman" w:hAnsi="Times New Roman" w:cs="Times New Roman"/>
          <w:sz w:val="16"/>
          <w:szCs w:val="16"/>
          <w:lang w:val="en-US"/>
        </w:rPr>
        <w:t xml:space="preserve">Portal legislativ, </w:t>
      </w:r>
      <w:r w:rsidRPr="00C917FC">
        <w:rPr>
          <w:rFonts w:ascii="Times New Roman" w:hAnsi="Times New Roman" w:cs="Times New Roman"/>
          <w:sz w:val="16"/>
          <w:szCs w:val="16"/>
        </w:rPr>
        <w:t>Ordonanță de Urgență nr. 73 din 6 decembrie 2019privind siguranța feroviară, disponibil la adresa https://legislatie.just.ro/Public/DetaliiDocument/220924</w:t>
      </w:r>
    </w:p>
  </w:footnote>
  <w:footnote w:id="9">
    <w:p w14:paraId="42C7DBB5" w14:textId="77777777" w:rsidR="00AF66BB" w:rsidRPr="00C917FC" w:rsidRDefault="00AF66BB" w:rsidP="00AF66BB">
      <w:pPr>
        <w:pStyle w:val="Textnotdesubsol"/>
        <w:jc w:val="both"/>
        <w:rPr>
          <w:rFonts w:ascii="Times New Roman" w:hAnsi="Times New Roman" w:cs="Times New Roman"/>
          <w:sz w:val="16"/>
          <w:szCs w:val="16"/>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EUR-lex, Regulamentul (CE) nr. 261/2004 al Parlamentului European și al Consiliului din 11 februarie 2004 de stabilire a unor norme comune în materie de compensare și de asistență a pasagerilor în eventualitatea refuzului la îmbarcare și anulării sau întârzierii prelungite a zborurilor și de abrogare a Regulamentului (CEE) nr. 295/91, disponibil la adresa https://eur-lex.europa.eu/legal-content/ro/TXT/?uri=CELEX%3A32004R0261</w:t>
      </w:r>
    </w:p>
  </w:footnote>
  <w:footnote w:id="10">
    <w:p w14:paraId="0844853A"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w:t>
      </w:r>
      <w:r w:rsidRPr="00C917FC">
        <w:rPr>
          <w:rFonts w:ascii="Times New Roman" w:hAnsi="Times New Roman" w:cs="Times New Roman"/>
          <w:sz w:val="16"/>
          <w:szCs w:val="16"/>
          <w:lang w:val="en-US"/>
        </w:rPr>
        <w:t xml:space="preserve">EUR-lex, </w:t>
      </w:r>
      <w:r w:rsidRPr="00C917FC">
        <w:rPr>
          <w:rFonts w:ascii="Times New Roman" w:hAnsi="Times New Roman" w:cs="Times New Roman"/>
          <w:sz w:val="16"/>
          <w:szCs w:val="16"/>
        </w:rPr>
        <w:t>Regulamentul (UE) 2018/1139 al Parlamentului European și al Consiliului din 4 iulie 2018 privind normele comune în domeniul aviației civile și de înființare a Agenției Uniunii Europene pentru Siguranța Aviației, de modificare a Regulamentelor (CE) nr. 2111/2005, (CE) nr. 1008/2008, (UE) nr. 996/2010, (UE) nr. 376/2014 și a Directivelor 2014/30/UE și 2014/53/UE ale Parlamentului European și ale Consiliului, precum și de abrogare a Regulamentelor (CE) nr. 552/2004 și (CE) nr. 216/2008 ale Parlamentului European și ale Consiliului și a Regulamentului (CEE) No 3922/91 al Consiliului, disponibil la adresa https://eur-lex.europa.eu/legal-content/RO/TXT/?uri=CELEX:32018R1139</w:t>
      </w:r>
    </w:p>
  </w:footnote>
  <w:footnote w:id="11">
    <w:p w14:paraId="47B7A6B6"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w:t>
      </w:r>
      <w:r w:rsidRPr="00C917FC">
        <w:rPr>
          <w:rFonts w:ascii="Times New Roman" w:hAnsi="Times New Roman" w:cs="Times New Roman"/>
          <w:sz w:val="16"/>
          <w:szCs w:val="16"/>
          <w:lang w:val="en-US"/>
        </w:rPr>
        <w:t xml:space="preserve">EUR-lex, </w:t>
      </w:r>
      <w:r w:rsidRPr="00C917FC">
        <w:rPr>
          <w:rFonts w:ascii="Times New Roman" w:hAnsi="Times New Roman" w:cs="Times New Roman"/>
          <w:sz w:val="16"/>
          <w:szCs w:val="16"/>
        </w:rPr>
        <w:t>Directiva (UE) 2016/1629 a Parlamentului European și a Consiliului din 14 septembrie 2016 de stabilire a cerințelor tehnice pentru navele de navigație interioară, de modificare a Directivei 2009/100/CE și de abrogare a Directivei 2006/87/CE, disponibil la adresa https://eur-lex.europa.eu/legal-content/RO/NIM/?uri=CELEX:32016L1629</w:t>
      </w:r>
    </w:p>
  </w:footnote>
  <w:footnote w:id="12">
    <w:p w14:paraId="6B836723"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w:t>
      </w:r>
      <w:r w:rsidRPr="00C917FC">
        <w:rPr>
          <w:rFonts w:ascii="Times New Roman" w:hAnsi="Times New Roman" w:cs="Times New Roman"/>
          <w:sz w:val="16"/>
          <w:szCs w:val="16"/>
          <w:lang w:val="en-US"/>
        </w:rPr>
        <w:t xml:space="preserve">EUR-lex, </w:t>
      </w:r>
      <w:r w:rsidRPr="00C917FC">
        <w:rPr>
          <w:rFonts w:ascii="Times New Roman" w:hAnsi="Times New Roman" w:cs="Times New Roman"/>
          <w:sz w:val="16"/>
          <w:szCs w:val="16"/>
        </w:rPr>
        <w:t>Regulamentul (UE) 2019/1239 al Parlamentului European și al Consiliului din 20 iunie 2019 de stabilire a unui mediu aferent ghișeului unic european în domeniul maritim și de abrogare a Directivei 2010/65/UE, disponibil la adresa https://eur-lex.europa.eu/legal-content/RO/ALL/?uri=CELEX:32019R1239</w:t>
      </w:r>
    </w:p>
  </w:footnote>
  <w:footnote w:id="13">
    <w:p w14:paraId="2B188D72"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w:t>
      </w:r>
      <w:r w:rsidRPr="00C917FC">
        <w:rPr>
          <w:rFonts w:ascii="Times New Roman" w:hAnsi="Times New Roman" w:cs="Times New Roman"/>
          <w:sz w:val="16"/>
          <w:szCs w:val="16"/>
          <w:lang w:val="en-US"/>
        </w:rPr>
        <w:t xml:space="preserve">EUR-lex, </w:t>
      </w:r>
      <w:r w:rsidRPr="00C917FC">
        <w:rPr>
          <w:rFonts w:ascii="Times New Roman" w:hAnsi="Times New Roman" w:cs="Times New Roman"/>
          <w:sz w:val="16"/>
          <w:szCs w:val="16"/>
        </w:rPr>
        <w:t>Directiva 2010/40/UE a Parlamentului European și a Consiliului din 7 iulie 2010 privind cadrul pentru implementarea sistemelor de transport inteligente în domeniul transportului rutier și pentru interfețele cu alte moduri de transport Text cu relevanță pentru SEE, disponibil la adresa https://eur-lex.europa.eu/legal-content/RO/NIM/?uri=CELEX:32010L0040</w:t>
      </w:r>
    </w:p>
  </w:footnote>
  <w:footnote w:id="14">
    <w:p w14:paraId="67F71F42"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EUR-lex, Regulamentul (UE) 2024/1679 al Parlamentului European și al Consiliului din 13 iunie 2024 privind orientările Uniunii pentru dezvoltarea rețelei transeuropene de transport, de modificare a Regulamentelor (UE) 2021/1153 și (UE) nr. 913/2010 și de abrogare a Regulamentului (UE) nr. 1315/2013, disponibil la adresa https://eur-lex.europa.eu/legal-content/ro/TXT/?uri=CELEX%3A32024R1679 </w:t>
      </w:r>
    </w:p>
  </w:footnote>
  <w:footnote w:id="15">
    <w:p w14:paraId="0E7726CF" w14:textId="77777777" w:rsidR="00AF66BB" w:rsidRPr="00C917FC" w:rsidRDefault="00AF66BB" w:rsidP="00AF66BB">
      <w:pPr>
        <w:pStyle w:val="Textnotdesubsol"/>
        <w:jc w:val="both"/>
        <w:rPr>
          <w:rFonts w:ascii="Times New Roman" w:hAnsi="Times New Roman" w:cs="Times New Roman"/>
          <w:sz w:val="16"/>
          <w:szCs w:val="16"/>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EUR-Lex, </w:t>
      </w:r>
      <w:r w:rsidRPr="00C917FC">
        <w:rPr>
          <w:rFonts w:ascii="Times New Roman" w:hAnsi="Times New Roman" w:cs="Times New Roman"/>
          <w:color w:val="000000" w:themeColor="text1"/>
          <w:sz w:val="16"/>
          <w:szCs w:val="16"/>
        </w:rPr>
        <w:t xml:space="preserve">Carte Albă Foaie de parcurs pentru un spațiu european unic al transporturilor – Către un sistem de transport competitiv și eficient din punct de vedere al resurselor, disponibil la adresa </w:t>
      </w:r>
      <w:r w:rsidRPr="00C917FC">
        <w:rPr>
          <w:rFonts w:ascii="Times New Roman" w:hAnsi="Times New Roman" w:cs="Times New Roman"/>
          <w:sz w:val="16"/>
          <w:szCs w:val="16"/>
        </w:rPr>
        <w:t>https://eur-lex.europa.eu/legal-content/RO/TXT/PDF/?uri=CELEX:52011DC0144</w:t>
      </w:r>
    </w:p>
  </w:footnote>
  <w:footnote w:id="16">
    <w:p w14:paraId="0C188208" w14:textId="77777777" w:rsidR="00AF66BB" w:rsidRPr="00C917FC" w:rsidRDefault="00AF66BB" w:rsidP="00AF66BB">
      <w:pPr>
        <w:pStyle w:val="Textnotdesubsol"/>
        <w:jc w:val="both"/>
        <w:rPr>
          <w:rFonts w:ascii="Times New Roman" w:hAnsi="Times New Roman" w:cs="Times New Roman"/>
          <w:sz w:val="16"/>
          <w:szCs w:val="16"/>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Comisia Europeană, Mecanismul pentru interconectarea Europei, disponibil la adresa https://cinea.ec.europa.eu/programmes/connecting-europe-facility/transport-infrastructure_en</w:t>
      </w:r>
    </w:p>
  </w:footnote>
  <w:footnote w:id="17">
    <w:p w14:paraId="2341348A" w14:textId="77777777" w:rsidR="00AF66BB" w:rsidRPr="00C917FC" w:rsidRDefault="00AF66BB" w:rsidP="00AF66BB">
      <w:pPr>
        <w:pStyle w:val="Textnotdesubsol"/>
        <w:jc w:val="both"/>
        <w:rPr>
          <w:rFonts w:ascii="Times New Roman" w:hAnsi="Times New Roman" w:cs="Times New Roman"/>
          <w:sz w:val="16"/>
          <w:szCs w:val="16"/>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Comisia Europeană, Mobilitate și transport, disponibil la adresa https://eur-lex.europa.eu/resource.html?uri=cellar:82155e82-67ca-11e3-a7e4-01aa75ed71a1.0006.01/DOC_1&amp;format=PDF</w:t>
      </w:r>
    </w:p>
  </w:footnote>
  <w:footnote w:id="18">
    <w:p w14:paraId="17895E7D" w14:textId="77777777" w:rsidR="00AF66BB" w:rsidRPr="00C917FC" w:rsidRDefault="00AF66BB" w:rsidP="00AF66BB">
      <w:pPr>
        <w:pStyle w:val="Textnotdesubsol"/>
        <w:jc w:val="both"/>
        <w:rPr>
          <w:rFonts w:ascii="Times New Roman" w:hAnsi="Times New Roman" w:cs="Times New Roman"/>
          <w:sz w:val="16"/>
          <w:szCs w:val="16"/>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EUR-Lex, O strategie europeană pentru o mobilitate cu emisii scăzute de dioxid de carbon, disponibil la adresa https://eur-lex.europa.eu/resource.html?uri=cellar:e44d3c21-531e-11e6-89bd-01aa75ed71a1.0015.02/DOC_1&amp;format=PDF</w:t>
      </w:r>
    </w:p>
  </w:footnote>
  <w:footnote w:id="19">
    <w:p w14:paraId="0BFA9869" w14:textId="77777777" w:rsidR="00AF66BB" w:rsidRPr="00C917FC" w:rsidRDefault="00AF66BB" w:rsidP="00AF66BB">
      <w:pPr>
        <w:pStyle w:val="Textnotdesubsol"/>
        <w:jc w:val="both"/>
        <w:rPr>
          <w:rFonts w:ascii="Times New Roman" w:hAnsi="Times New Roman" w:cs="Times New Roman"/>
          <w:sz w:val="16"/>
          <w:szCs w:val="16"/>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Consiliul European, Pactul verde European, disponibil la adresa https://www.consilium.europa.eu/ro/policies/green-deal/</w:t>
      </w:r>
    </w:p>
  </w:footnote>
  <w:footnote w:id="20">
    <w:p w14:paraId="27B5B40F" w14:textId="77777777" w:rsidR="00AF66BB" w:rsidRPr="00C917FC" w:rsidRDefault="00AF66BB" w:rsidP="00AF66BB">
      <w:pPr>
        <w:pStyle w:val="Textnotdesubsol"/>
        <w:jc w:val="both"/>
        <w:rPr>
          <w:rFonts w:ascii="Times New Roman" w:hAnsi="Times New Roman" w:cs="Times New Roman"/>
          <w:sz w:val="16"/>
          <w:szCs w:val="16"/>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Comisia Europeană, Strategia UE pentru mobilitate sustenabilă și inteligentă - înscrierea transporturilor europene pe calea viitorului, disponibil la adresa https://data.consilium.europa.eu/doc/document/ST-14012-2020-INIT/ro/pdf</w:t>
      </w:r>
    </w:p>
  </w:footnote>
  <w:footnote w:id="21">
    <w:p w14:paraId="00C97AF8" w14:textId="77777777" w:rsidR="00AF66BB" w:rsidRPr="00C917FC" w:rsidRDefault="00AF66BB" w:rsidP="00AF66BB">
      <w:pPr>
        <w:pStyle w:val="Textnotdesubsol"/>
        <w:jc w:val="both"/>
        <w:rPr>
          <w:rFonts w:ascii="Times New Roman" w:hAnsi="Times New Roman" w:cs="Times New Roman"/>
          <w:sz w:val="16"/>
          <w:szCs w:val="16"/>
        </w:rPr>
      </w:pPr>
      <w:bookmarkStart w:id="6" w:name="_Hlk144134745"/>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Comisia Europeană, Noul cadru al UE pentru mobilitatea urbană, disponibil la adresa https://www.cdep.ro/afaceri_europene/CE/2021/COM_2021_811_RO_ACT_part1_v2.pdf</w:t>
      </w:r>
      <w:bookmarkEnd w:id="6"/>
    </w:p>
  </w:footnote>
  <w:footnote w:id="22">
    <w:p w14:paraId="4C7F3590" w14:textId="77777777" w:rsidR="00AF66BB" w:rsidRPr="00C917FC" w:rsidRDefault="00AF66BB" w:rsidP="00AF66BB">
      <w:pPr>
        <w:pStyle w:val="Textnotdesubsol"/>
        <w:jc w:val="both"/>
        <w:rPr>
          <w:rFonts w:ascii="Times New Roman" w:hAnsi="Times New Roman" w:cs="Times New Roman"/>
          <w:sz w:val="16"/>
          <w:szCs w:val="16"/>
          <w:lang w:val="en-US"/>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Comisia Europeana, Pregătiți pentru 55, disponibil la adresa https://www.consilium.europa.eu/ro/policies/fit-for-55/#what</w:t>
      </w:r>
    </w:p>
  </w:footnote>
  <w:footnote w:id="23">
    <w:p w14:paraId="4736BB5E" w14:textId="77777777" w:rsidR="00AF66BB" w:rsidRPr="00C917FC" w:rsidRDefault="00AF66BB" w:rsidP="00AF66BB">
      <w:pPr>
        <w:pStyle w:val="Textnotdesubsol"/>
        <w:jc w:val="both"/>
        <w:rPr>
          <w:rFonts w:ascii="Times New Roman" w:hAnsi="Times New Roman" w:cs="Times New Roman"/>
          <w:sz w:val="16"/>
          <w:szCs w:val="16"/>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DATA.GOV.RO, disponibil la adresa https://data.gov.ro/dataset/pni-anghel-saligny-stadiu-implementare-31-martie-2025/resource/fb434507-134e-4c74-b5cc-734b20835c16</w:t>
      </w:r>
    </w:p>
  </w:footnote>
  <w:footnote w:id="24">
    <w:p w14:paraId="236FB5C5" w14:textId="77777777" w:rsidR="008D3BF6" w:rsidRPr="00C917FC" w:rsidRDefault="008D3BF6" w:rsidP="008D3BF6">
      <w:pPr>
        <w:pStyle w:val="Textnotdesubsol"/>
        <w:jc w:val="both"/>
        <w:rPr>
          <w:rFonts w:ascii="Times New Roman" w:hAnsi="Times New Roman" w:cs="Times New Roman"/>
          <w:sz w:val="16"/>
          <w:szCs w:val="16"/>
        </w:rPr>
      </w:pPr>
      <w:r w:rsidRPr="00C917FC">
        <w:rPr>
          <w:rStyle w:val="Referinnotdesubsol"/>
          <w:rFonts w:ascii="Times New Roman" w:hAnsi="Times New Roman" w:cs="Times New Roman"/>
          <w:sz w:val="16"/>
          <w:szCs w:val="16"/>
        </w:rPr>
        <w:footnoteRef/>
      </w:r>
      <w:r w:rsidRPr="00C917FC">
        <w:rPr>
          <w:rFonts w:ascii="Times New Roman" w:hAnsi="Times New Roman" w:cs="Times New Roman"/>
          <w:sz w:val="16"/>
          <w:szCs w:val="16"/>
        </w:rPr>
        <w:t xml:space="preserve"> </w:t>
      </w:r>
      <w:r w:rsidRPr="00C917FC">
        <w:rPr>
          <w:rFonts w:ascii="Times New Roman" w:hAnsi="Times New Roman" w:cs="Times New Roman"/>
          <w:b/>
          <w:bCs/>
          <w:sz w:val="16"/>
          <w:szCs w:val="16"/>
        </w:rPr>
        <w:t>Notă metodologică:</w:t>
      </w:r>
      <w:r w:rsidRPr="00C917FC">
        <w:rPr>
          <w:rFonts w:ascii="Times New Roman" w:hAnsi="Times New Roman" w:cs="Times New Roman"/>
          <w:sz w:val="16"/>
          <w:szCs w:val="16"/>
        </w:rPr>
        <w:t xml:space="preserve"> procentele sunt calculate prin raportarea suprafețelor însumate ale fiecărei categorii la suprafața judeţului, fără a deduplica zonele suprapuse. De aici rezultă valori mari (suma depășește 100 % dacă s-ar face totalul tuturor categoriilor), însă fiecare bară reflectă real suprafața „înregistrată” sub acel statut de protecție.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FD47B" w14:textId="0B96F467" w:rsidR="00784853" w:rsidRDefault="00D81598">
    <w:pPr>
      <w:pStyle w:val="Antet"/>
    </w:pPr>
    <w:sdt>
      <w:sdtPr>
        <w:id w:val="1918135762"/>
        <w:docPartObj>
          <w:docPartGallery w:val="Watermarks"/>
          <w:docPartUnique/>
        </w:docPartObj>
      </w:sdtPr>
      <w:sdtEndPr/>
      <w:sdtContent>
        <w:r>
          <w:rPr>
            <w:noProof/>
          </w:rPr>
          <w:pict w14:anchorId="03802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889830" o:spid="_x0000_s2051" type="#_x0000_t136" style="position:absolute;margin-left:0;margin-top:0;width:412.4pt;height:247.45pt;rotation:315;z-index:-251656704;mso-position-horizontal:center;mso-position-horizontal-relative:margin;mso-position-vertical:center;mso-position-vertical-relative:margin" o:allowincell="f" fillcolor="#aeaaaa [2414]" stroked="f">
              <v:fill opacity=".5"/>
              <v:textpath style="font-family:&quot;Calibri&quot;;font-size:1pt" string="DRAFT"/>
              <w10:wrap anchorx="margin" anchory="margin"/>
            </v:shape>
          </w:pict>
        </w:r>
      </w:sdtContent>
    </w:sdt>
    <w:r w:rsidR="00784853">
      <w:rPr>
        <w:noProof/>
        <w:lang w:eastAsia="ro-RO"/>
      </w:rPr>
      <w:drawing>
        <wp:inline distT="0" distB="0" distL="0" distR="0" wp14:anchorId="2B1D1E83" wp14:editId="52B1BC13">
          <wp:extent cx="1561467" cy="856287"/>
          <wp:effectExtent l="0" t="0" r="635" b="1270"/>
          <wp:docPr id="2" name="Picture 2" descr="Pagin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ina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817" cy="870737"/>
                  </a:xfrm>
                  <a:prstGeom prst="rect">
                    <a:avLst/>
                  </a:prstGeom>
                  <a:noFill/>
                  <a:ln>
                    <a:noFill/>
                  </a:ln>
                </pic:spPr>
              </pic:pic>
            </a:graphicData>
          </a:graphic>
        </wp:inline>
      </w:drawing>
    </w:r>
  </w:p>
  <w:p w14:paraId="66836EE6" w14:textId="77777777" w:rsidR="00784853" w:rsidRDefault="00784853">
    <w:pPr>
      <w:pStyle w:val="Ante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C85FF" w14:textId="77777777" w:rsidR="00121D31" w:rsidRDefault="00121D31">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C2831" w14:textId="77777777" w:rsidR="00121D31" w:rsidRDefault="00121D31">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9B942" w14:textId="77777777" w:rsidR="00137013" w:rsidRDefault="00137013">
    <w:pPr>
      <w:pStyle w:val="Antet"/>
    </w:pPr>
    <w:r>
      <w:rPr>
        <w:noProof/>
        <w:lang w:eastAsia="ro-RO"/>
      </w:rPr>
      <w:drawing>
        <wp:inline distT="0" distB="0" distL="0" distR="0" wp14:anchorId="399D5519" wp14:editId="63D68250">
          <wp:extent cx="1561467" cy="856287"/>
          <wp:effectExtent l="0" t="0" r="635" b="1270"/>
          <wp:docPr id="1729566713" name="Picture 1729566713" descr="Pagin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ina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817" cy="870737"/>
                  </a:xfrm>
                  <a:prstGeom prst="rect">
                    <a:avLst/>
                  </a:prstGeom>
                  <a:noFill/>
                  <a:ln>
                    <a:noFill/>
                  </a:ln>
                </pic:spPr>
              </pic:pic>
            </a:graphicData>
          </a:graphic>
        </wp:inline>
      </w:drawing>
    </w:r>
  </w:p>
  <w:p w14:paraId="10E4EE79" w14:textId="77777777" w:rsidR="00137013" w:rsidRDefault="00137013">
    <w:pPr>
      <w:pStyle w:val="Ante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07164" w14:textId="77777777" w:rsidR="00121D31" w:rsidRDefault="00121D31">
    <w:pPr>
      <w:pStyle w:val="Ante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8F66B" w14:textId="77777777" w:rsidR="00121D31" w:rsidRDefault="00121D31">
    <w:pPr>
      <w:pStyle w:val="Ante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9F581" w14:textId="77777777" w:rsidR="007C2554" w:rsidRDefault="007C2554">
    <w:pPr>
      <w:pStyle w:val="Antet"/>
    </w:pPr>
    <w:r>
      <w:rPr>
        <w:noProof/>
        <w:lang w:eastAsia="ro-RO"/>
      </w:rPr>
      <w:drawing>
        <wp:inline distT="0" distB="0" distL="0" distR="0" wp14:anchorId="44180034" wp14:editId="67CCB211">
          <wp:extent cx="1561467" cy="856287"/>
          <wp:effectExtent l="0" t="0" r="635" b="1270"/>
          <wp:docPr id="399849331" name="Picture 399849331" descr="Pagin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ina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817" cy="870737"/>
                  </a:xfrm>
                  <a:prstGeom prst="rect">
                    <a:avLst/>
                  </a:prstGeom>
                  <a:noFill/>
                  <a:ln>
                    <a:noFill/>
                  </a:ln>
                </pic:spPr>
              </pic:pic>
            </a:graphicData>
          </a:graphic>
        </wp:inline>
      </w:drawing>
    </w:r>
  </w:p>
  <w:p w14:paraId="328C1BEC" w14:textId="77777777" w:rsidR="007C2554" w:rsidRDefault="007C2554">
    <w:pPr>
      <w:pStyle w:val="Ante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51E17" w14:textId="77777777" w:rsidR="00121D31" w:rsidRDefault="00121D31">
    <w:pPr>
      <w:pStyle w:val="Ante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487BB" w14:textId="77777777" w:rsidR="00121D31" w:rsidRDefault="00121D31">
    <w:pPr>
      <w:pStyle w:val="Ante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BEFE6" w14:textId="77777777" w:rsidR="007C2554" w:rsidRDefault="007C2554">
    <w:pPr>
      <w:pStyle w:val="Antet"/>
    </w:pPr>
    <w:r>
      <w:rPr>
        <w:noProof/>
        <w:lang w:eastAsia="ro-RO"/>
      </w:rPr>
      <w:drawing>
        <wp:inline distT="0" distB="0" distL="0" distR="0" wp14:anchorId="1A67E725" wp14:editId="1F1B3F33">
          <wp:extent cx="1561467" cy="856287"/>
          <wp:effectExtent l="0" t="0" r="635" b="1270"/>
          <wp:docPr id="151469246" name="Picture 151469246" descr="Pagin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ina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817" cy="870737"/>
                  </a:xfrm>
                  <a:prstGeom prst="rect">
                    <a:avLst/>
                  </a:prstGeom>
                  <a:noFill/>
                  <a:ln>
                    <a:noFill/>
                  </a:ln>
                </pic:spPr>
              </pic:pic>
            </a:graphicData>
          </a:graphic>
        </wp:inline>
      </w:drawing>
    </w:r>
  </w:p>
  <w:p w14:paraId="1FAF1290" w14:textId="77777777" w:rsidR="007C2554" w:rsidRDefault="007C2554">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B44C7"/>
    <w:multiLevelType w:val="hybridMultilevel"/>
    <w:tmpl w:val="AD02B3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D050AA"/>
    <w:multiLevelType w:val="hybridMultilevel"/>
    <w:tmpl w:val="965C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27F1"/>
    <w:multiLevelType w:val="hybridMultilevel"/>
    <w:tmpl w:val="25A47336"/>
    <w:lvl w:ilvl="0" w:tplc="DE0C1CA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E1A32"/>
    <w:multiLevelType w:val="multilevel"/>
    <w:tmpl w:val="5588D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E36040"/>
    <w:multiLevelType w:val="hybridMultilevel"/>
    <w:tmpl w:val="8930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F3886"/>
    <w:multiLevelType w:val="multilevel"/>
    <w:tmpl w:val="E2BCD626"/>
    <w:lvl w:ilvl="0">
      <w:start w:val="1"/>
      <w:numFmt w:val="bullet"/>
      <w:lvlText w:val=""/>
      <w:lvlJc w:val="left"/>
      <w:pPr>
        <w:tabs>
          <w:tab w:val="num" w:pos="720"/>
        </w:tabs>
        <w:ind w:left="720" w:hanging="360"/>
      </w:pPr>
      <w:rPr>
        <w:rFonts w:ascii="Symbol" w:hAnsi="Symbol" w:hint="default"/>
        <w:color w:val="0070C0"/>
        <w:sz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11725D"/>
    <w:multiLevelType w:val="hybridMultilevel"/>
    <w:tmpl w:val="D7C6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05F41"/>
    <w:multiLevelType w:val="hybridMultilevel"/>
    <w:tmpl w:val="22321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17FAF"/>
    <w:multiLevelType w:val="hybridMultilevel"/>
    <w:tmpl w:val="FCE47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DA4038"/>
    <w:multiLevelType w:val="hybridMultilevel"/>
    <w:tmpl w:val="A6C6A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DA6193"/>
    <w:multiLevelType w:val="hybridMultilevel"/>
    <w:tmpl w:val="B192CC96"/>
    <w:lvl w:ilvl="0" w:tplc="368E4D62">
      <w:start w:val="1"/>
      <w:numFmt w:val="bullet"/>
      <w:lvlText w:val=""/>
      <w:lvlJc w:val="left"/>
      <w:pPr>
        <w:ind w:left="720" w:hanging="360"/>
      </w:pPr>
      <w:rPr>
        <w:rFonts w:ascii="Wingdings" w:hAnsi="Wingdings"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2644D3A"/>
    <w:multiLevelType w:val="hybridMultilevel"/>
    <w:tmpl w:val="EF985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13DAD"/>
    <w:multiLevelType w:val="hybridMultilevel"/>
    <w:tmpl w:val="D012BD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A2A6E07"/>
    <w:multiLevelType w:val="hybridMultilevel"/>
    <w:tmpl w:val="B7D4EB1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7B57A9"/>
    <w:multiLevelType w:val="multilevel"/>
    <w:tmpl w:val="4F26F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51733A"/>
    <w:multiLevelType w:val="hybridMultilevel"/>
    <w:tmpl w:val="FCE47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9E2E15"/>
    <w:multiLevelType w:val="multilevel"/>
    <w:tmpl w:val="1E1C7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7E165A"/>
    <w:multiLevelType w:val="multilevel"/>
    <w:tmpl w:val="6B787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1C5D80"/>
    <w:multiLevelType w:val="hybridMultilevel"/>
    <w:tmpl w:val="A5F88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260F4B8E"/>
    <w:multiLevelType w:val="multilevel"/>
    <w:tmpl w:val="BEF0A0B2"/>
    <w:lvl w:ilvl="0">
      <w:start w:val="1"/>
      <w:numFmt w:val="bullet"/>
      <w:lvlText w:val=""/>
      <w:lvlJc w:val="left"/>
      <w:pPr>
        <w:tabs>
          <w:tab w:val="num" w:pos="720"/>
        </w:tabs>
        <w:ind w:left="720" w:hanging="360"/>
      </w:pPr>
      <w:rPr>
        <w:rFonts w:ascii="Symbol" w:hAnsi="Symbol" w:hint="default"/>
        <w:color w:val="0070C0"/>
        <w:sz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B95076"/>
    <w:multiLevelType w:val="hybridMultilevel"/>
    <w:tmpl w:val="2DDC9DA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C51FF1"/>
    <w:multiLevelType w:val="hybridMultilevel"/>
    <w:tmpl w:val="A6AED9E4"/>
    <w:lvl w:ilvl="0" w:tplc="3BCECCE0">
      <w:start w:val="1"/>
      <w:numFmt w:val="bullet"/>
      <w:lvlText w:val=""/>
      <w:lvlJc w:val="left"/>
      <w:pPr>
        <w:ind w:left="720" w:hanging="360"/>
      </w:pPr>
      <w:rPr>
        <w:rFonts w:ascii="Symbol" w:hAnsi="Symbol" w:hint="default"/>
        <w:color w:val="0070C0"/>
        <w:sz w:val="3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2AB63748"/>
    <w:multiLevelType w:val="hybridMultilevel"/>
    <w:tmpl w:val="FCE474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9A1757"/>
    <w:multiLevelType w:val="multilevel"/>
    <w:tmpl w:val="25D6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F846DC"/>
    <w:multiLevelType w:val="hybridMultilevel"/>
    <w:tmpl w:val="2CB20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A64DAC"/>
    <w:multiLevelType w:val="multilevel"/>
    <w:tmpl w:val="05560704"/>
    <w:lvl w:ilvl="0">
      <w:start w:val="1"/>
      <w:numFmt w:val="bullet"/>
      <w:lvlText w:val=""/>
      <w:lvlJc w:val="left"/>
      <w:pPr>
        <w:tabs>
          <w:tab w:val="num" w:pos="720"/>
        </w:tabs>
        <w:ind w:left="720" w:hanging="360"/>
      </w:pPr>
      <w:rPr>
        <w:rFonts w:ascii="Symbol" w:hAnsi="Symbol" w:hint="default"/>
        <w:color w:val="0070C0"/>
        <w:sz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DE294B"/>
    <w:multiLevelType w:val="multilevel"/>
    <w:tmpl w:val="1196F720"/>
    <w:lvl w:ilvl="0">
      <w:start w:val="1"/>
      <w:numFmt w:val="bullet"/>
      <w:lvlText w:val=""/>
      <w:lvlJc w:val="left"/>
      <w:pPr>
        <w:tabs>
          <w:tab w:val="num" w:pos="720"/>
        </w:tabs>
        <w:ind w:left="720" w:hanging="360"/>
      </w:pPr>
      <w:rPr>
        <w:rFonts w:ascii="Symbol" w:hAnsi="Symbol" w:hint="default"/>
        <w:color w:val="0070C0"/>
        <w:sz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C54528"/>
    <w:multiLevelType w:val="hybridMultilevel"/>
    <w:tmpl w:val="BDF283F8"/>
    <w:lvl w:ilvl="0" w:tplc="DE0C1CA2">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15:restartNumberingAfterBreak="0">
    <w:nsid w:val="3E394642"/>
    <w:multiLevelType w:val="hybridMultilevel"/>
    <w:tmpl w:val="0B344B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3F0979E9"/>
    <w:multiLevelType w:val="hybridMultilevel"/>
    <w:tmpl w:val="883858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32119E2"/>
    <w:multiLevelType w:val="hybridMultilevel"/>
    <w:tmpl w:val="24A2C0F0"/>
    <w:lvl w:ilvl="0" w:tplc="3BCECCE0">
      <w:start w:val="1"/>
      <w:numFmt w:val="bullet"/>
      <w:lvlText w:val=""/>
      <w:lvlJc w:val="left"/>
      <w:pPr>
        <w:ind w:left="720" w:hanging="360"/>
      </w:pPr>
      <w:rPr>
        <w:rFonts w:ascii="Symbol" w:hAnsi="Symbol" w:hint="default"/>
        <w:color w:val="0070C0"/>
        <w:sz w:val="3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4B152455"/>
    <w:multiLevelType w:val="hybridMultilevel"/>
    <w:tmpl w:val="FCE4746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D96B1F"/>
    <w:multiLevelType w:val="multilevel"/>
    <w:tmpl w:val="995A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207BFB"/>
    <w:multiLevelType w:val="hybridMultilevel"/>
    <w:tmpl w:val="3CE203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58E80FCF"/>
    <w:multiLevelType w:val="multilevel"/>
    <w:tmpl w:val="49C6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3A12DA"/>
    <w:multiLevelType w:val="multilevel"/>
    <w:tmpl w:val="F356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5220DB"/>
    <w:multiLevelType w:val="hybridMultilevel"/>
    <w:tmpl w:val="39E4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E21D37"/>
    <w:multiLevelType w:val="multilevel"/>
    <w:tmpl w:val="573ABF6E"/>
    <w:lvl w:ilvl="0">
      <w:start w:val="1"/>
      <w:numFmt w:val="bullet"/>
      <w:lvlText w:val=""/>
      <w:lvlJc w:val="left"/>
      <w:pPr>
        <w:tabs>
          <w:tab w:val="num" w:pos="720"/>
        </w:tabs>
        <w:ind w:left="720" w:hanging="360"/>
      </w:pPr>
      <w:rPr>
        <w:rFonts w:ascii="Symbol" w:hAnsi="Symbol" w:hint="default"/>
        <w:color w:val="0070C0"/>
        <w:sz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EB6A81"/>
    <w:multiLevelType w:val="hybridMultilevel"/>
    <w:tmpl w:val="0C8244EA"/>
    <w:lvl w:ilvl="0" w:tplc="3BCECCE0">
      <w:start w:val="1"/>
      <w:numFmt w:val="bullet"/>
      <w:lvlText w:val=""/>
      <w:lvlJc w:val="left"/>
      <w:pPr>
        <w:ind w:left="720" w:hanging="360"/>
      </w:pPr>
      <w:rPr>
        <w:rFonts w:ascii="Symbol" w:hAnsi="Symbol" w:hint="default"/>
        <w:color w:val="0070C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D86CE9"/>
    <w:multiLevelType w:val="multilevel"/>
    <w:tmpl w:val="F226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6357D7"/>
    <w:multiLevelType w:val="multilevel"/>
    <w:tmpl w:val="3892B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66694C"/>
    <w:multiLevelType w:val="hybridMultilevel"/>
    <w:tmpl w:val="8C1802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E8E6BFA"/>
    <w:multiLevelType w:val="hybridMultilevel"/>
    <w:tmpl w:val="D7F8F0E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30"/>
  </w:num>
  <w:num w:numId="3">
    <w:abstractNumId w:val="27"/>
  </w:num>
  <w:num w:numId="4">
    <w:abstractNumId w:val="38"/>
  </w:num>
  <w:num w:numId="5">
    <w:abstractNumId w:val="25"/>
  </w:num>
  <w:num w:numId="6">
    <w:abstractNumId w:val="21"/>
  </w:num>
  <w:num w:numId="7">
    <w:abstractNumId w:val="19"/>
  </w:num>
  <w:num w:numId="8">
    <w:abstractNumId w:val="26"/>
  </w:num>
  <w:num w:numId="9">
    <w:abstractNumId w:val="37"/>
  </w:num>
  <w:num w:numId="10">
    <w:abstractNumId w:val="34"/>
  </w:num>
  <w:num w:numId="11">
    <w:abstractNumId w:val="5"/>
  </w:num>
  <w:num w:numId="12">
    <w:abstractNumId w:val="39"/>
  </w:num>
  <w:num w:numId="13">
    <w:abstractNumId w:val="23"/>
  </w:num>
  <w:num w:numId="14">
    <w:abstractNumId w:val="41"/>
  </w:num>
  <w:num w:numId="15">
    <w:abstractNumId w:val="0"/>
  </w:num>
  <w:num w:numId="16">
    <w:abstractNumId w:val="12"/>
  </w:num>
  <w:num w:numId="17">
    <w:abstractNumId w:val="18"/>
  </w:num>
  <w:num w:numId="18">
    <w:abstractNumId w:val="17"/>
  </w:num>
  <w:num w:numId="19">
    <w:abstractNumId w:val="28"/>
  </w:num>
  <w:num w:numId="20">
    <w:abstractNumId w:val="33"/>
  </w:num>
  <w:num w:numId="21">
    <w:abstractNumId w:val="29"/>
  </w:num>
  <w:num w:numId="22">
    <w:abstractNumId w:val="16"/>
  </w:num>
  <w:num w:numId="23">
    <w:abstractNumId w:val="31"/>
  </w:num>
  <w:num w:numId="24">
    <w:abstractNumId w:val="22"/>
  </w:num>
  <w:num w:numId="25">
    <w:abstractNumId w:val="8"/>
  </w:num>
  <w:num w:numId="26">
    <w:abstractNumId w:val="15"/>
  </w:num>
  <w:num w:numId="27">
    <w:abstractNumId w:val="7"/>
  </w:num>
  <w:num w:numId="28">
    <w:abstractNumId w:val="10"/>
  </w:num>
  <w:num w:numId="29">
    <w:abstractNumId w:val="20"/>
  </w:num>
  <w:num w:numId="30">
    <w:abstractNumId w:val="32"/>
  </w:num>
  <w:num w:numId="31">
    <w:abstractNumId w:val="1"/>
  </w:num>
  <w:num w:numId="32">
    <w:abstractNumId w:val="24"/>
  </w:num>
  <w:num w:numId="33">
    <w:abstractNumId w:val="11"/>
  </w:num>
  <w:num w:numId="34">
    <w:abstractNumId w:val="9"/>
  </w:num>
  <w:num w:numId="35">
    <w:abstractNumId w:val="6"/>
  </w:num>
  <w:num w:numId="36">
    <w:abstractNumId w:val="42"/>
  </w:num>
  <w:num w:numId="37">
    <w:abstractNumId w:val="35"/>
  </w:num>
  <w:num w:numId="38">
    <w:abstractNumId w:val="2"/>
  </w:num>
  <w:num w:numId="39">
    <w:abstractNumId w:val="36"/>
  </w:num>
  <w:num w:numId="40">
    <w:abstractNumId w:val="4"/>
  </w:num>
  <w:num w:numId="41">
    <w:abstractNumId w:val="14"/>
  </w:num>
  <w:num w:numId="42">
    <w:abstractNumId w:val="40"/>
  </w:num>
  <w:num w:numId="43">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DA4"/>
    <w:rsid w:val="00002995"/>
    <w:rsid w:val="00003A5B"/>
    <w:rsid w:val="00004B9B"/>
    <w:rsid w:val="00012324"/>
    <w:rsid w:val="00012BC5"/>
    <w:rsid w:val="00013D0B"/>
    <w:rsid w:val="00017C5D"/>
    <w:rsid w:val="00017E59"/>
    <w:rsid w:val="00020DD5"/>
    <w:rsid w:val="00022C5F"/>
    <w:rsid w:val="00025578"/>
    <w:rsid w:val="0002697B"/>
    <w:rsid w:val="00030227"/>
    <w:rsid w:val="0003056D"/>
    <w:rsid w:val="00031AF8"/>
    <w:rsid w:val="00033584"/>
    <w:rsid w:val="0003394D"/>
    <w:rsid w:val="00037B35"/>
    <w:rsid w:val="00037CD6"/>
    <w:rsid w:val="000407B2"/>
    <w:rsid w:val="00041370"/>
    <w:rsid w:val="00041F07"/>
    <w:rsid w:val="00042BFA"/>
    <w:rsid w:val="00042EB9"/>
    <w:rsid w:val="00044759"/>
    <w:rsid w:val="00044CE6"/>
    <w:rsid w:val="000452AB"/>
    <w:rsid w:val="00046517"/>
    <w:rsid w:val="000508AB"/>
    <w:rsid w:val="00051883"/>
    <w:rsid w:val="00051EDA"/>
    <w:rsid w:val="0005567C"/>
    <w:rsid w:val="00056F9C"/>
    <w:rsid w:val="00056FF2"/>
    <w:rsid w:val="000578C2"/>
    <w:rsid w:val="000626BC"/>
    <w:rsid w:val="000631E8"/>
    <w:rsid w:val="0006467B"/>
    <w:rsid w:val="00065D3C"/>
    <w:rsid w:val="00070218"/>
    <w:rsid w:val="000709DE"/>
    <w:rsid w:val="0007437D"/>
    <w:rsid w:val="00075F0B"/>
    <w:rsid w:val="00076009"/>
    <w:rsid w:val="00076401"/>
    <w:rsid w:val="00077DD3"/>
    <w:rsid w:val="00081567"/>
    <w:rsid w:val="000848DA"/>
    <w:rsid w:val="00085E51"/>
    <w:rsid w:val="00087E5F"/>
    <w:rsid w:val="0009173C"/>
    <w:rsid w:val="000918AE"/>
    <w:rsid w:val="000955D3"/>
    <w:rsid w:val="000968BF"/>
    <w:rsid w:val="000969A0"/>
    <w:rsid w:val="0009723C"/>
    <w:rsid w:val="00097A24"/>
    <w:rsid w:val="000A01A6"/>
    <w:rsid w:val="000A16B6"/>
    <w:rsid w:val="000A609A"/>
    <w:rsid w:val="000A6E9B"/>
    <w:rsid w:val="000B0407"/>
    <w:rsid w:val="000B079C"/>
    <w:rsid w:val="000B1A0E"/>
    <w:rsid w:val="000B4BB7"/>
    <w:rsid w:val="000B5699"/>
    <w:rsid w:val="000B763D"/>
    <w:rsid w:val="000C1EBA"/>
    <w:rsid w:val="000C23C4"/>
    <w:rsid w:val="000C3DA0"/>
    <w:rsid w:val="000C7052"/>
    <w:rsid w:val="000D0825"/>
    <w:rsid w:val="000D0C0B"/>
    <w:rsid w:val="000D2064"/>
    <w:rsid w:val="000D44E6"/>
    <w:rsid w:val="000D538C"/>
    <w:rsid w:val="000D726F"/>
    <w:rsid w:val="000E2277"/>
    <w:rsid w:val="000E2DA5"/>
    <w:rsid w:val="000E4093"/>
    <w:rsid w:val="000E433A"/>
    <w:rsid w:val="000F0119"/>
    <w:rsid w:val="000F0170"/>
    <w:rsid w:val="000F1105"/>
    <w:rsid w:val="000F2705"/>
    <w:rsid w:val="000F285C"/>
    <w:rsid w:val="000F329D"/>
    <w:rsid w:val="000F5013"/>
    <w:rsid w:val="000F72E6"/>
    <w:rsid w:val="000F7AD7"/>
    <w:rsid w:val="000F7F77"/>
    <w:rsid w:val="00100C56"/>
    <w:rsid w:val="001012BD"/>
    <w:rsid w:val="0010219B"/>
    <w:rsid w:val="00102C04"/>
    <w:rsid w:val="001031B2"/>
    <w:rsid w:val="0010418F"/>
    <w:rsid w:val="001047AF"/>
    <w:rsid w:val="00105584"/>
    <w:rsid w:val="00105697"/>
    <w:rsid w:val="00107821"/>
    <w:rsid w:val="001105D0"/>
    <w:rsid w:val="001127DE"/>
    <w:rsid w:val="00113E18"/>
    <w:rsid w:val="00116A03"/>
    <w:rsid w:val="00117E2D"/>
    <w:rsid w:val="00120842"/>
    <w:rsid w:val="00121D31"/>
    <w:rsid w:val="00122908"/>
    <w:rsid w:val="00123881"/>
    <w:rsid w:val="00131E75"/>
    <w:rsid w:val="00132410"/>
    <w:rsid w:val="00135A14"/>
    <w:rsid w:val="00137013"/>
    <w:rsid w:val="00137E5D"/>
    <w:rsid w:val="0014005B"/>
    <w:rsid w:val="001400C3"/>
    <w:rsid w:val="001414DD"/>
    <w:rsid w:val="00141B5A"/>
    <w:rsid w:val="001438AC"/>
    <w:rsid w:val="00145BC4"/>
    <w:rsid w:val="00145EC0"/>
    <w:rsid w:val="00147524"/>
    <w:rsid w:val="00151F6C"/>
    <w:rsid w:val="00154A6B"/>
    <w:rsid w:val="00155EA9"/>
    <w:rsid w:val="00162016"/>
    <w:rsid w:val="00164CE2"/>
    <w:rsid w:val="00166843"/>
    <w:rsid w:val="001704D6"/>
    <w:rsid w:val="001704FE"/>
    <w:rsid w:val="001708AA"/>
    <w:rsid w:val="0017127D"/>
    <w:rsid w:val="00171D6B"/>
    <w:rsid w:val="00172244"/>
    <w:rsid w:val="0017253B"/>
    <w:rsid w:val="001768CD"/>
    <w:rsid w:val="001808B9"/>
    <w:rsid w:val="00180C9B"/>
    <w:rsid w:val="00181D44"/>
    <w:rsid w:val="00182F12"/>
    <w:rsid w:val="00184A19"/>
    <w:rsid w:val="00184DA3"/>
    <w:rsid w:val="00184E36"/>
    <w:rsid w:val="00185070"/>
    <w:rsid w:val="001864AE"/>
    <w:rsid w:val="00190FBC"/>
    <w:rsid w:val="0019334D"/>
    <w:rsid w:val="00194391"/>
    <w:rsid w:val="00194F9F"/>
    <w:rsid w:val="001A1FDA"/>
    <w:rsid w:val="001A26D1"/>
    <w:rsid w:val="001A2E65"/>
    <w:rsid w:val="001A478A"/>
    <w:rsid w:val="001A6E1A"/>
    <w:rsid w:val="001A7E8D"/>
    <w:rsid w:val="001B06B2"/>
    <w:rsid w:val="001B0D99"/>
    <w:rsid w:val="001B1313"/>
    <w:rsid w:val="001B38D7"/>
    <w:rsid w:val="001B3D15"/>
    <w:rsid w:val="001B4B31"/>
    <w:rsid w:val="001B4F19"/>
    <w:rsid w:val="001B61D2"/>
    <w:rsid w:val="001C0141"/>
    <w:rsid w:val="001C1394"/>
    <w:rsid w:val="001C19D2"/>
    <w:rsid w:val="001C1ECC"/>
    <w:rsid w:val="001C22E0"/>
    <w:rsid w:val="001C2C3E"/>
    <w:rsid w:val="001C36F9"/>
    <w:rsid w:val="001C3FD2"/>
    <w:rsid w:val="001C47A8"/>
    <w:rsid w:val="001C7CD2"/>
    <w:rsid w:val="001D0F6C"/>
    <w:rsid w:val="001D20DD"/>
    <w:rsid w:val="001D3083"/>
    <w:rsid w:val="001D3C4B"/>
    <w:rsid w:val="001D42E3"/>
    <w:rsid w:val="001D5C48"/>
    <w:rsid w:val="001D64E2"/>
    <w:rsid w:val="001E0327"/>
    <w:rsid w:val="001E1EAA"/>
    <w:rsid w:val="001E1F92"/>
    <w:rsid w:val="001E3D3F"/>
    <w:rsid w:val="001E45A7"/>
    <w:rsid w:val="001E47A3"/>
    <w:rsid w:val="001E66A1"/>
    <w:rsid w:val="001F1540"/>
    <w:rsid w:val="001F6742"/>
    <w:rsid w:val="001F706A"/>
    <w:rsid w:val="002012BA"/>
    <w:rsid w:val="0020289B"/>
    <w:rsid w:val="002039B0"/>
    <w:rsid w:val="00204DBB"/>
    <w:rsid w:val="00204E1F"/>
    <w:rsid w:val="00205C11"/>
    <w:rsid w:val="00205DF0"/>
    <w:rsid w:val="00206335"/>
    <w:rsid w:val="002063C1"/>
    <w:rsid w:val="00210502"/>
    <w:rsid w:val="0021086F"/>
    <w:rsid w:val="002114F2"/>
    <w:rsid w:val="00212732"/>
    <w:rsid w:val="00212B62"/>
    <w:rsid w:val="002132C8"/>
    <w:rsid w:val="00214EC9"/>
    <w:rsid w:val="00216E06"/>
    <w:rsid w:val="0021719A"/>
    <w:rsid w:val="002200CC"/>
    <w:rsid w:val="00220879"/>
    <w:rsid w:val="00221EC8"/>
    <w:rsid w:val="00224E13"/>
    <w:rsid w:val="00225C33"/>
    <w:rsid w:val="0023146B"/>
    <w:rsid w:val="00232377"/>
    <w:rsid w:val="002327EA"/>
    <w:rsid w:val="002329DF"/>
    <w:rsid w:val="002333FE"/>
    <w:rsid w:val="00234637"/>
    <w:rsid w:val="00234E32"/>
    <w:rsid w:val="00235294"/>
    <w:rsid w:val="0023558A"/>
    <w:rsid w:val="00236517"/>
    <w:rsid w:val="00237E3F"/>
    <w:rsid w:val="00240437"/>
    <w:rsid w:val="002404FD"/>
    <w:rsid w:val="00243CD0"/>
    <w:rsid w:val="00243F50"/>
    <w:rsid w:val="002445F3"/>
    <w:rsid w:val="00244645"/>
    <w:rsid w:val="00246327"/>
    <w:rsid w:val="0025043E"/>
    <w:rsid w:val="002522A1"/>
    <w:rsid w:val="0025290C"/>
    <w:rsid w:val="00253845"/>
    <w:rsid w:val="00255140"/>
    <w:rsid w:val="00257DDF"/>
    <w:rsid w:val="002610CE"/>
    <w:rsid w:val="00262BB3"/>
    <w:rsid w:val="00265AEF"/>
    <w:rsid w:val="0026754B"/>
    <w:rsid w:val="002725AF"/>
    <w:rsid w:val="002725E1"/>
    <w:rsid w:val="002729DD"/>
    <w:rsid w:val="00272C50"/>
    <w:rsid w:val="00274017"/>
    <w:rsid w:val="00274375"/>
    <w:rsid w:val="002764CD"/>
    <w:rsid w:val="00276A86"/>
    <w:rsid w:val="002778E2"/>
    <w:rsid w:val="00280903"/>
    <w:rsid w:val="00281024"/>
    <w:rsid w:val="0028261B"/>
    <w:rsid w:val="00284A04"/>
    <w:rsid w:val="00284B57"/>
    <w:rsid w:val="002855E8"/>
    <w:rsid w:val="0028685E"/>
    <w:rsid w:val="0029668B"/>
    <w:rsid w:val="002968EB"/>
    <w:rsid w:val="002A03B2"/>
    <w:rsid w:val="002A1177"/>
    <w:rsid w:val="002A3BD8"/>
    <w:rsid w:val="002A68A6"/>
    <w:rsid w:val="002A6C3B"/>
    <w:rsid w:val="002B0530"/>
    <w:rsid w:val="002B4A4F"/>
    <w:rsid w:val="002B61B9"/>
    <w:rsid w:val="002B66F9"/>
    <w:rsid w:val="002B6B48"/>
    <w:rsid w:val="002B6BBB"/>
    <w:rsid w:val="002B7911"/>
    <w:rsid w:val="002C06D2"/>
    <w:rsid w:val="002C2C15"/>
    <w:rsid w:val="002C4557"/>
    <w:rsid w:val="002C4B8F"/>
    <w:rsid w:val="002C6EDD"/>
    <w:rsid w:val="002C749D"/>
    <w:rsid w:val="002D1B00"/>
    <w:rsid w:val="002D2F5A"/>
    <w:rsid w:val="002D3BA4"/>
    <w:rsid w:val="002D3F1B"/>
    <w:rsid w:val="002D668D"/>
    <w:rsid w:val="002D77D8"/>
    <w:rsid w:val="002D7EDA"/>
    <w:rsid w:val="002E0C1B"/>
    <w:rsid w:val="002E26F2"/>
    <w:rsid w:val="002E2F18"/>
    <w:rsid w:val="002E4CAC"/>
    <w:rsid w:val="002E4F1A"/>
    <w:rsid w:val="002E574A"/>
    <w:rsid w:val="002F109C"/>
    <w:rsid w:val="002F2A56"/>
    <w:rsid w:val="002F34AA"/>
    <w:rsid w:val="002F4521"/>
    <w:rsid w:val="002F50A4"/>
    <w:rsid w:val="002F5D59"/>
    <w:rsid w:val="002F61D4"/>
    <w:rsid w:val="002F7448"/>
    <w:rsid w:val="002F769C"/>
    <w:rsid w:val="002F7DAA"/>
    <w:rsid w:val="00301B3A"/>
    <w:rsid w:val="0030305C"/>
    <w:rsid w:val="00305C15"/>
    <w:rsid w:val="003101DE"/>
    <w:rsid w:val="00310210"/>
    <w:rsid w:val="0031147C"/>
    <w:rsid w:val="003123F3"/>
    <w:rsid w:val="0031410A"/>
    <w:rsid w:val="00314B34"/>
    <w:rsid w:val="00315EC3"/>
    <w:rsid w:val="003177BA"/>
    <w:rsid w:val="00317F85"/>
    <w:rsid w:val="003213EF"/>
    <w:rsid w:val="0032184A"/>
    <w:rsid w:val="00321D51"/>
    <w:rsid w:val="00323281"/>
    <w:rsid w:val="003254CE"/>
    <w:rsid w:val="003266AC"/>
    <w:rsid w:val="00327C7F"/>
    <w:rsid w:val="00327F17"/>
    <w:rsid w:val="00330067"/>
    <w:rsid w:val="003301E4"/>
    <w:rsid w:val="00330377"/>
    <w:rsid w:val="00330D2A"/>
    <w:rsid w:val="003318E3"/>
    <w:rsid w:val="00333AE8"/>
    <w:rsid w:val="0033496D"/>
    <w:rsid w:val="00337CA6"/>
    <w:rsid w:val="00341BA6"/>
    <w:rsid w:val="00341EF2"/>
    <w:rsid w:val="00343F21"/>
    <w:rsid w:val="00346CE0"/>
    <w:rsid w:val="00347937"/>
    <w:rsid w:val="003515BB"/>
    <w:rsid w:val="0035176E"/>
    <w:rsid w:val="003568FA"/>
    <w:rsid w:val="00356EF1"/>
    <w:rsid w:val="0035775E"/>
    <w:rsid w:val="00357C0C"/>
    <w:rsid w:val="003609EE"/>
    <w:rsid w:val="00361E6D"/>
    <w:rsid w:val="00362DB5"/>
    <w:rsid w:val="00363E5E"/>
    <w:rsid w:val="00364318"/>
    <w:rsid w:val="00366271"/>
    <w:rsid w:val="003670FE"/>
    <w:rsid w:val="00367B87"/>
    <w:rsid w:val="00370808"/>
    <w:rsid w:val="00372752"/>
    <w:rsid w:val="00372C7B"/>
    <w:rsid w:val="00373822"/>
    <w:rsid w:val="00374462"/>
    <w:rsid w:val="003755A2"/>
    <w:rsid w:val="00376196"/>
    <w:rsid w:val="00376605"/>
    <w:rsid w:val="003771FE"/>
    <w:rsid w:val="0038138A"/>
    <w:rsid w:val="00382E44"/>
    <w:rsid w:val="003839A6"/>
    <w:rsid w:val="00385274"/>
    <w:rsid w:val="003859E5"/>
    <w:rsid w:val="003940F3"/>
    <w:rsid w:val="00394829"/>
    <w:rsid w:val="003965E0"/>
    <w:rsid w:val="00396932"/>
    <w:rsid w:val="00396F09"/>
    <w:rsid w:val="003A0355"/>
    <w:rsid w:val="003A29CB"/>
    <w:rsid w:val="003A2FE6"/>
    <w:rsid w:val="003A688A"/>
    <w:rsid w:val="003B0A40"/>
    <w:rsid w:val="003B1734"/>
    <w:rsid w:val="003B6AF3"/>
    <w:rsid w:val="003C0276"/>
    <w:rsid w:val="003C58E5"/>
    <w:rsid w:val="003C6140"/>
    <w:rsid w:val="003C7CDF"/>
    <w:rsid w:val="003D17D1"/>
    <w:rsid w:val="003D1E95"/>
    <w:rsid w:val="003D2C39"/>
    <w:rsid w:val="003D7EF4"/>
    <w:rsid w:val="003E30F5"/>
    <w:rsid w:val="003E39D4"/>
    <w:rsid w:val="003E7673"/>
    <w:rsid w:val="003F18D7"/>
    <w:rsid w:val="003F26AD"/>
    <w:rsid w:val="003F356F"/>
    <w:rsid w:val="003F57F4"/>
    <w:rsid w:val="003F59BC"/>
    <w:rsid w:val="003F6A6B"/>
    <w:rsid w:val="003F6C9B"/>
    <w:rsid w:val="004002E1"/>
    <w:rsid w:val="00400434"/>
    <w:rsid w:val="00400BED"/>
    <w:rsid w:val="00403077"/>
    <w:rsid w:val="00403635"/>
    <w:rsid w:val="00403C15"/>
    <w:rsid w:val="00404CA7"/>
    <w:rsid w:val="004060EA"/>
    <w:rsid w:val="004062E1"/>
    <w:rsid w:val="004068FF"/>
    <w:rsid w:val="0040781E"/>
    <w:rsid w:val="0041082F"/>
    <w:rsid w:val="00411FA2"/>
    <w:rsid w:val="00412E2D"/>
    <w:rsid w:val="00414722"/>
    <w:rsid w:val="00414781"/>
    <w:rsid w:val="004149B4"/>
    <w:rsid w:val="00416E3D"/>
    <w:rsid w:val="00417B19"/>
    <w:rsid w:val="004219D7"/>
    <w:rsid w:val="00425E35"/>
    <w:rsid w:val="00427DFA"/>
    <w:rsid w:val="004307AA"/>
    <w:rsid w:val="00432B0B"/>
    <w:rsid w:val="00432B1F"/>
    <w:rsid w:val="00432DC4"/>
    <w:rsid w:val="004357D9"/>
    <w:rsid w:val="004371E9"/>
    <w:rsid w:val="0043794D"/>
    <w:rsid w:val="00437D6F"/>
    <w:rsid w:val="00440C3E"/>
    <w:rsid w:val="00441C71"/>
    <w:rsid w:val="00442195"/>
    <w:rsid w:val="00443596"/>
    <w:rsid w:val="004445F5"/>
    <w:rsid w:val="00444A0A"/>
    <w:rsid w:val="004453E4"/>
    <w:rsid w:val="0044554C"/>
    <w:rsid w:val="0044696A"/>
    <w:rsid w:val="00446DB6"/>
    <w:rsid w:val="00447B9D"/>
    <w:rsid w:val="004505AC"/>
    <w:rsid w:val="00451139"/>
    <w:rsid w:val="00452C36"/>
    <w:rsid w:val="00454856"/>
    <w:rsid w:val="004555C0"/>
    <w:rsid w:val="00455ABD"/>
    <w:rsid w:val="00455B08"/>
    <w:rsid w:val="00456AB9"/>
    <w:rsid w:val="004604CB"/>
    <w:rsid w:val="004604FA"/>
    <w:rsid w:val="0046130B"/>
    <w:rsid w:val="004619D9"/>
    <w:rsid w:val="00461B53"/>
    <w:rsid w:val="00461CA3"/>
    <w:rsid w:val="00464DD0"/>
    <w:rsid w:val="00466DC9"/>
    <w:rsid w:val="004678FD"/>
    <w:rsid w:val="00470308"/>
    <w:rsid w:val="00470990"/>
    <w:rsid w:val="00470B47"/>
    <w:rsid w:val="00471EB5"/>
    <w:rsid w:val="0047234D"/>
    <w:rsid w:val="00472DB3"/>
    <w:rsid w:val="0047503F"/>
    <w:rsid w:val="004767A3"/>
    <w:rsid w:val="00477134"/>
    <w:rsid w:val="004777BA"/>
    <w:rsid w:val="004816D6"/>
    <w:rsid w:val="004818FF"/>
    <w:rsid w:val="00482004"/>
    <w:rsid w:val="00486A1D"/>
    <w:rsid w:val="00486B70"/>
    <w:rsid w:val="00490EA1"/>
    <w:rsid w:val="0049267D"/>
    <w:rsid w:val="0049577D"/>
    <w:rsid w:val="00497BE9"/>
    <w:rsid w:val="004A13DF"/>
    <w:rsid w:val="004A2B33"/>
    <w:rsid w:val="004A3F20"/>
    <w:rsid w:val="004A44D9"/>
    <w:rsid w:val="004A4983"/>
    <w:rsid w:val="004A702E"/>
    <w:rsid w:val="004A7DC6"/>
    <w:rsid w:val="004A7F68"/>
    <w:rsid w:val="004B00CC"/>
    <w:rsid w:val="004B0B98"/>
    <w:rsid w:val="004B23D2"/>
    <w:rsid w:val="004B4452"/>
    <w:rsid w:val="004B5004"/>
    <w:rsid w:val="004C0079"/>
    <w:rsid w:val="004C072F"/>
    <w:rsid w:val="004C2B93"/>
    <w:rsid w:val="004C479F"/>
    <w:rsid w:val="004C7E98"/>
    <w:rsid w:val="004D1BCC"/>
    <w:rsid w:val="004D4127"/>
    <w:rsid w:val="004D6D7C"/>
    <w:rsid w:val="004D7889"/>
    <w:rsid w:val="004E154E"/>
    <w:rsid w:val="004E243F"/>
    <w:rsid w:val="004E2858"/>
    <w:rsid w:val="004E5AEA"/>
    <w:rsid w:val="004E60CF"/>
    <w:rsid w:val="004E7BFE"/>
    <w:rsid w:val="004F0FEB"/>
    <w:rsid w:val="004F31E6"/>
    <w:rsid w:val="004F385B"/>
    <w:rsid w:val="004F415F"/>
    <w:rsid w:val="004F6193"/>
    <w:rsid w:val="004F65DC"/>
    <w:rsid w:val="004F7142"/>
    <w:rsid w:val="005001B1"/>
    <w:rsid w:val="00500C10"/>
    <w:rsid w:val="005017BA"/>
    <w:rsid w:val="005037A5"/>
    <w:rsid w:val="00503A29"/>
    <w:rsid w:val="00506B04"/>
    <w:rsid w:val="005072B1"/>
    <w:rsid w:val="00507570"/>
    <w:rsid w:val="00507BDE"/>
    <w:rsid w:val="0051243A"/>
    <w:rsid w:val="00512F7C"/>
    <w:rsid w:val="005137A4"/>
    <w:rsid w:val="00513AA8"/>
    <w:rsid w:val="005145D5"/>
    <w:rsid w:val="0051645D"/>
    <w:rsid w:val="00517392"/>
    <w:rsid w:val="00520CBA"/>
    <w:rsid w:val="00521C5E"/>
    <w:rsid w:val="005226DD"/>
    <w:rsid w:val="00522ABC"/>
    <w:rsid w:val="00522C44"/>
    <w:rsid w:val="005249C6"/>
    <w:rsid w:val="00525B8F"/>
    <w:rsid w:val="00527B48"/>
    <w:rsid w:val="005302FC"/>
    <w:rsid w:val="00530616"/>
    <w:rsid w:val="00531C1A"/>
    <w:rsid w:val="005321C3"/>
    <w:rsid w:val="005337C9"/>
    <w:rsid w:val="00535A3B"/>
    <w:rsid w:val="00537C2E"/>
    <w:rsid w:val="005417C6"/>
    <w:rsid w:val="00543FAC"/>
    <w:rsid w:val="00544726"/>
    <w:rsid w:val="00544DC2"/>
    <w:rsid w:val="00546725"/>
    <w:rsid w:val="00546E7E"/>
    <w:rsid w:val="00547516"/>
    <w:rsid w:val="00552B34"/>
    <w:rsid w:val="00553C3A"/>
    <w:rsid w:val="00555BB1"/>
    <w:rsid w:val="005608A8"/>
    <w:rsid w:val="0056250C"/>
    <w:rsid w:val="0056325C"/>
    <w:rsid w:val="00564A40"/>
    <w:rsid w:val="00565FE9"/>
    <w:rsid w:val="0056628D"/>
    <w:rsid w:val="00566979"/>
    <w:rsid w:val="00567409"/>
    <w:rsid w:val="0056749A"/>
    <w:rsid w:val="00575B44"/>
    <w:rsid w:val="005760AB"/>
    <w:rsid w:val="00577101"/>
    <w:rsid w:val="00580275"/>
    <w:rsid w:val="00583544"/>
    <w:rsid w:val="00583D8F"/>
    <w:rsid w:val="00586C56"/>
    <w:rsid w:val="00587C91"/>
    <w:rsid w:val="00591CC2"/>
    <w:rsid w:val="00591D93"/>
    <w:rsid w:val="005958E6"/>
    <w:rsid w:val="005962A8"/>
    <w:rsid w:val="00596A61"/>
    <w:rsid w:val="005971AA"/>
    <w:rsid w:val="005974A9"/>
    <w:rsid w:val="00597663"/>
    <w:rsid w:val="00597944"/>
    <w:rsid w:val="00597F69"/>
    <w:rsid w:val="005A0089"/>
    <w:rsid w:val="005A2855"/>
    <w:rsid w:val="005A2C84"/>
    <w:rsid w:val="005A359B"/>
    <w:rsid w:val="005A3A97"/>
    <w:rsid w:val="005A62C6"/>
    <w:rsid w:val="005A632D"/>
    <w:rsid w:val="005A69CE"/>
    <w:rsid w:val="005A70BD"/>
    <w:rsid w:val="005A73F0"/>
    <w:rsid w:val="005A78B2"/>
    <w:rsid w:val="005A7BC5"/>
    <w:rsid w:val="005B03DE"/>
    <w:rsid w:val="005B114C"/>
    <w:rsid w:val="005B2670"/>
    <w:rsid w:val="005B4308"/>
    <w:rsid w:val="005B4778"/>
    <w:rsid w:val="005B6590"/>
    <w:rsid w:val="005B6ED7"/>
    <w:rsid w:val="005B7982"/>
    <w:rsid w:val="005B7BA8"/>
    <w:rsid w:val="005C0270"/>
    <w:rsid w:val="005C196D"/>
    <w:rsid w:val="005C1B61"/>
    <w:rsid w:val="005C28F5"/>
    <w:rsid w:val="005C2D88"/>
    <w:rsid w:val="005C359A"/>
    <w:rsid w:val="005C4369"/>
    <w:rsid w:val="005C4C8F"/>
    <w:rsid w:val="005C4F93"/>
    <w:rsid w:val="005C76F6"/>
    <w:rsid w:val="005D12B5"/>
    <w:rsid w:val="005D326B"/>
    <w:rsid w:val="005D3ECE"/>
    <w:rsid w:val="005D50F0"/>
    <w:rsid w:val="005D56F2"/>
    <w:rsid w:val="005D5C6B"/>
    <w:rsid w:val="005D648A"/>
    <w:rsid w:val="005D6B8A"/>
    <w:rsid w:val="005D700D"/>
    <w:rsid w:val="005E118F"/>
    <w:rsid w:val="005E213A"/>
    <w:rsid w:val="005E3F92"/>
    <w:rsid w:val="005F0AE3"/>
    <w:rsid w:val="005F0B4C"/>
    <w:rsid w:val="005F0DE8"/>
    <w:rsid w:val="005F2D7E"/>
    <w:rsid w:val="005F3818"/>
    <w:rsid w:val="005F40C2"/>
    <w:rsid w:val="005F4E72"/>
    <w:rsid w:val="005F6590"/>
    <w:rsid w:val="005F679D"/>
    <w:rsid w:val="005F7C3C"/>
    <w:rsid w:val="00601451"/>
    <w:rsid w:val="00602D90"/>
    <w:rsid w:val="00603403"/>
    <w:rsid w:val="0060396C"/>
    <w:rsid w:val="00604E74"/>
    <w:rsid w:val="00605CD1"/>
    <w:rsid w:val="00605F2F"/>
    <w:rsid w:val="006078A2"/>
    <w:rsid w:val="006100D8"/>
    <w:rsid w:val="00610CC5"/>
    <w:rsid w:val="0061155D"/>
    <w:rsid w:val="00611618"/>
    <w:rsid w:val="006123E7"/>
    <w:rsid w:val="00612B89"/>
    <w:rsid w:val="006133FC"/>
    <w:rsid w:val="0061342D"/>
    <w:rsid w:val="00613442"/>
    <w:rsid w:val="00615189"/>
    <w:rsid w:val="006156FD"/>
    <w:rsid w:val="006158BC"/>
    <w:rsid w:val="00615FFE"/>
    <w:rsid w:val="0062012A"/>
    <w:rsid w:val="00621E4F"/>
    <w:rsid w:val="006235D9"/>
    <w:rsid w:val="00624A0D"/>
    <w:rsid w:val="0062513C"/>
    <w:rsid w:val="006311DF"/>
    <w:rsid w:val="00633F04"/>
    <w:rsid w:val="00635CC1"/>
    <w:rsid w:val="0063618A"/>
    <w:rsid w:val="00636219"/>
    <w:rsid w:val="00637B18"/>
    <w:rsid w:val="00644D74"/>
    <w:rsid w:val="006454A7"/>
    <w:rsid w:val="006462A3"/>
    <w:rsid w:val="006462DC"/>
    <w:rsid w:val="0064643D"/>
    <w:rsid w:val="006464CE"/>
    <w:rsid w:val="00647892"/>
    <w:rsid w:val="00651012"/>
    <w:rsid w:val="006574CF"/>
    <w:rsid w:val="006616C9"/>
    <w:rsid w:val="00662188"/>
    <w:rsid w:val="006634D3"/>
    <w:rsid w:val="00665FE5"/>
    <w:rsid w:val="006662F1"/>
    <w:rsid w:val="00667D83"/>
    <w:rsid w:val="006703D5"/>
    <w:rsid w:val="00670BA4"/>
    <w:rsid w:val="00671104"/>
    <w:rsid w:val="00671830"/>
    <w:rsid w:val="0067233C"/>
    <w:rsid w:val="00672BD4"/>
    <w:rsid w:val="00674A0F"/>
    <w:rsid w:val="006775FB"/>
    <w:rsid w:val="00677FE2"/>
    <w:rsid w:val="0068082F"/>
    <w:rsid w:val="00686A59"/>
    <w:rsid w:val="00686DAA"/>
    <w:rsid w:val="0069019B"/>
    <w:rsid w:val="006918CC"/>
    <w:rsid w:val="00691AA7"/>
    <w:rsid w:val="00692389"/>
    <w:rsid w:val="006936FF"/>
    <w:rsid w:val="0069395B"/>
    <w:rsid w:val="00693A11"/>
    <w:rsid w:val="00693B5F"/>
    <w:rsid w:val="00694F12"/>
    <w:rsid w:val="00695CA3"/>
    <w:rsid w:val="00695DEF"/>
    <w:rsid w:val="00696409"/>
    <w:rsid w:val="00696A08"/>
    <w:rsid w:val="00697E6A"/>
    <w:rsid w:val="006A2CB7"/>
    <w:rsid w:val="006A3889"/>
    <w:rsid w:val="006A5D43"/>
    <w:rsid w:val="006B055C"/>
    <w:rsid w:val="006B0B71"/>
    <w:rsid w:val="006B0C15"/>
    <w:rsid w:val="006B1659"/>
    <w:rsid w:val="006B2628"/>
    <w:rsid w:val="006B32D4"/>
    <w:rsid w:val="006B47B1"/>
    <w:rsid w:val="006B4CFC"/>
    <w:rsid w:val="006B54A6"/>
    <w:rsid w:val="006B5E36"/>
    <w:rsid w:val="006B61BA"/>
    <w:rsid w:val="006B77EE"/>
    <w:rsid w:val="006C1B21"/>
    <w:rsid w:val="006C228B"/>
    <w:rsid w:val="006C2C25"/>
    <w:rsid w:val="006C342B"/>
    <w:rsid w:val="006C39CF"/>
    <w:rsid w:val="006C5557"/>
    <w:rsid w:val="006C5C09"/>
    <w:rsid w:val="006C7A01"/>
    <w:rsid w:val="006D1AD0"/>
    <w:rsid w:val="006D24A6"/>
    <w:rsid w:val="006D2B12"/>
    <w:rsid w:val="006D2FD9"/>
    <w:rsid w:val="006D55F8"/>
    <w:rsid w:val="006D6AEF"/>
    <w:rsid w:val="006D742C"/>
    <w:rsid w:val="006E2A6F"/>
    <w:rsid w:val="006E54DC"/>
    <w:rsid w:val="006E7E09"/>
    <w:rsid w:val="006F2306"/>
    <w:rsid w:val="006F28E6"/>
    <w:rsid w:val="006F54CB"/>
    <w:rsid w:val="006F55F6"/>
    <w:rsid w:val="006F5BB8"/>
    <w:rsid w:val="006F7EAB"/>
    <w:rsid w:val="007004DD"/>
    <w:rsid w:val="00701A68"/>
    <w:rsid w:val="0070359B"/>
    <w:rsid w:val="007069F1"/>
    <w:rsid w:val="00706F79"/>
    <w:rsid w:val="00710A54"/>
    <w:rsid w:val="0071104F"/>
    <w:rsid w:val="007123A8"/>
    <w:rsid w:val="00714655"/>
    <w:rsid w:val="007146C2"/>
    <w:rsid w:val="00716691"/>
    <w:rsid w:val="007175A4"/>
    <w:rsid w:val="00717DEB"/>
    <w:rsid w:val="00724203"/>
    <w:rsid w:val="0072504F"/>
    <w:rsid w:val="00726123"/>
    <w:rsid w:val="00726D9D"/>
    <w:rsid w:val="0073153C"/>
    <w:rsid w:val="007315CF"/>
    <w:rsid w:val="007318CB"/>
    <w:rsid w:val="007334F8"/>
    <w:rsid w:val="007357C5"/>
    <w:rsid w:val="00736838"/>
    <w:rsid w:val="00737120"/>
    <w:rsid w:val="0074138E"/>
    <w:rsid w:val="0074219F"/>
    <w:rsid w:val="007446B6"/>
    <w:rsid w:val="0074539A"/>
    <w:rsid w:val="00746DD6"/>
    <w:rsid w:val="00750C15"/>
    <w:rsid w:val="00755531"/>
    <w:rsid w:val="00756983"/>
    <w:rsid w:val="007575BC"/>
    <w:rsid w:val="0076025F"/>
    <w:rsid w:val="007605D0"/>
    <w:rsid w:val="00762405"/>
    <w:rsid w:val="007641CA"/>
    <w:rsid w:val="00764361"/>
    <w:rsid w:val="00765226"/>
    <w:rsid w:val="0076657F"/>
    <w:rsid w:val="0076728B"/>
    <w:rsid w:val="00770601"/>
    <w:rsid w:val="007710AA"/>
    <w:rsid w:val="00771A25"/>
    <w:rsid w:val="00772115"/>
    <w:rsid w:val="00772149"/>
    <w:rsid w:val="00772F2B"/>
    <w:rsid w:val="00774AE6"/>
    <w:rsid w:val="007760FB"/>
    <w:rsid w:val="0078020D"/>
    <w:rsid w:val="007827C3"/>
    <w:rsid w:val="00784805"/>
    <w:rsid w:val="00784853"/>
    <w:rsid w:val="00785842"/>
    <w:rsid w:val="00790E60"/>
    <w:rsid w:val="007915F4"/>
    <w:rsid w:val="0079294C"/>
    <w:rsid w:val="007A439B"/>
    <w:rsid w:val="007A788E"/>
    <w:rsid w:val="007B0F3E"/>
    <w:rsid w:val="007B17B4"/>
    <w:rsid w:val="007B2312"/>
    <w:rsid w:val="007B2844"/>
    <w:rsid w:val="007B6E8B"/>
    <w:rsid w:val="007B7C45"/>
    <w:rsid w:val="007B7EF3"/>
    <w:rsid w:val="007C0296"/>
    <w:rsid w:val="007C194C"/>
    <w:rsid w:val="007C2554"/>
    <w:rsid w:val="007C2F1E"/>
    <w:rsid w:val="007C3BB4"/>
    <w:rsid w:val="007C5CC7"/>
    <w:rsid w:val="007C6D83"/>
    <w:rsid w:val="007D0CDF"/>
    <w:rsid w:val="007D1126"/>
    <w:rsid w:val="007D15D1"/>
    <w:rsid w:val="007D32CE"/>
    <w:rsid w:val="007D3D4F"/>
    <w:rsid w:val="007D5692"/>
    <w:rsid w:val="007D5BB9"/>
    <w:rsid w:val="007D6F53"/>
    <w:rsid w:val="007E08DE"/>
    <w:rsid w:val="007E138F"/>
    <w:rsid w:val="007E2634"/>
    <w:rsid w:val="007E4030"/>
    <w:rsid w:val="007E4486"/>
    <w:rsid w:val="007E55B4"/>
    <w:rsid w:val="007E5A9C"/>
    <w:rsid w:val="007E5AD1"/>
    <w:rsid w:val="007E799D"/>
    <w:rsid w:val="007F1D74"/>
    <w:rsid w:val="007F239B"/>
    <w:rsid w:val="007F4E38"/>
    <w:rsid w:val="007F5444"/>
    <w:rsid w:val="007F6948"/>
    <w:rsid w:val="007F7D86"/>
    <w:rsid w:val="00800C6F"/>
    <w:rsid w:val="00800FD4"/>
    <w:rsid w:val="00801725"/>
    <w:rsid w:val="008023B6"/>
    <w:rsid w:val="00803400"/>
    <w:rsid w:val="008034F0"/>
    <w:rsid w:val="00803681"/>
    <w:rsid w:val="00807D29"/>
    <w:rsid w:val="00810BD3"/>
    <w:rsid w:val="0081136C"/>
    <w:rsid w:val="00811F29"/>
    <w:rsid w:val="008145AB"/>
    <w:rsid w:val="00815738"/>
    <w:rsid w:val="00815CB6"/>
    <w:rsid w:val="008163C8"/>
    <w:rsid w:val="008166E2"/>
    <w:rsid w:val="00816806"/>
    <w:rsid w:val="008169D8"/>
    <w:rsid w:val="0082068C"/>
    <w:rsid w:val="00822EE7"/>
    <w:rsid w:val="00823739"/>
    <w:rsid w:val="00824224"/>
    <w:rsid w:val="00824C79"/>
    <w:rsid w:val="00825A88"/>
    <w:rsid w:val="00827722"/>
    <w:rsid w:val="00827A4A"/>
    <w:rsid w:val="00830275"/>
    <w:rsid w:val="00831748"/>
    <w:rsid w:val="008326B6"/>
    <w:rsid w:val="00832750"/>
    <w:rsid w:val="00832894"/>
    <w:rsid w:val="00834765"/>
    <w:rsid w:val="00835A61"/>
    <w:rsid w:val="00837DEC"/>
    <w:rsid w:val="00840BF1"/>
    <w:rsid w:val="008424B6"/>
    <w:rsid w:val="0084399F"/>
    <w:rsid w:val="00844311"/>
    <w:rsid w:val="008453EF"/>
    <w:rsid w:val="00846840"/>
    <w:rsid w:val="00847471"/>
    <w:rsid w:val="0085063C"/>
    <w:rsid w:val="0085267B"/>
    <w:rsid w:val="00852AF1"/>
    <w:rsid w:val="00853509"/>
    <w:rsid w:val="00854CA1"/>
    <w:rsid w:val="0085506C"/>
    <w:rsid w:val="00856AEF"/>
    <w:rsid w:val="00857260"/>
    <w:rsid w:val="00857DDB"/>
    <w:rsid w:val="008605D7"/>
    <w:rsid w:val="00862B84"/>
    <w:rsid w:val="00863234"/>
    <w:rsid w:val="008636C8"/>
    <w:rsid w:val="00864764"/>
    <w:rsid w:val="008651B3"/>
    <w:rsid w:val="00865514"/>
    <w:rsid w:val="00865BFD"/>
    <w:rsid w:val="00866B4A"/>
    <w:rsid w:val="008678CD"/>
    <w:rsid w:val="00871F2C"/>
    <w:rsid w:val="00872889"/>
    <w:rsid w:val="008742E5"/>
    <w:rsid w:val="00875F85"/>
    <w:rsid w:val="008779CA"/>
    <w:rsid w:val="00880337"/>
    <w:rsid w:val="0088181D"/>
    <w:rsid w:val="0088368B"/>
    <w:rsid w:val="00884227"/>
    <w:rsid w:val="00885345"/>
    <w:rsid w:val="00890920"/>
    <w:rsid w:val="00890B29"/>
    <w:rsid w:val="00892EB4"/>
    <w:rsid w:val="00893788"/>
    <w:rsid w:val="00894A5E"/>
    <w:rsid w:val="0089501F"/>
    <w:rsid w:val="00895E37"/>
    <w:rsid w:val="00896598"/>
    <w:rsid w:val="008A2001"/>
    <w:rsid w:val="008A2294"/>
    <w:rsid w:val="008A2A04"/>
    <w:rsid w:val="008A389E"/>
    <w:rsid w:val="008A3B22"/>
    <w:rsid w:val="008A730F"/>
    <w:rsid w:val="008A7AEB"/>
    <w:rsid w:val="008B012A"/>
    <w:rsid w:val="008B4D9F"/>
    <w:rsid w:val="008C2709"/>
    <w:rsid w:val="008C3875"/>
    <w:rsid w:val="008C4771"/>
    <w:rsid w:val="008C5C19"/>
    <w:rsid w:val="008D3B48"/>
    <w:rsid w:val="008D3BF6"/>
    <w:rsid w:val="008D43C5"/>
    <w:rsid w:val="008E0070"/>
    <w:rsid w:val="008E1B80"/>
    <w:rsid w:val="008E1DC1"/>
    <w:rsid w:val="008E2418"/>
    <w:rsid w:val="008E28B8"/>
    <w:rsid w:val="008E3459"/>
    <w:rsid w:val="008E3625"/>
    <w:rsid w:val="008E3F73"/>
    <w:rsid w:val="008E46D0"/>
    <w:rsid w:val="008F18B6"/>
    <w:rsid w:val="008F1A18"/>
    <w:rsid w:val="008F4E25"/>
    <w:rsid w:val="008F511B"/>
    <w:rsid w:val="008F6A8F"/>
    <w:rsid w:val="008F6AB9"/>
    <w:rsid w:val="008F7003"/>
    <w:rsid w:val="00901F1C"/>
    <w:rsid w:val="00902F6C"/>
    <w:rsid w:val="009030FA"/>
    <w:rsid w:val="00903E32"/>
    <w:rsid w:val="0090494F"/>
    <w:rsid w:val="00905C26"/>
    <w:rsid w:val="00906166"/>
    <w:rsid w:val="0091011B"/>
    <w:rsid w:val="00910154"/>
    <w:rsid w:val="00911CF7"/>
    <w:rsid w:val="009122BB"/>
    <w:rsid w:val="00913EC2"/>
    <w:rsid w:val="009147BE"/>
    <w:rsid w:val="00915128"/>
    <w:rsid w:val="0091552D"/>
    <w:rsid w:val="00915C20"/>
    <w:rsid w:val="00915C5D"/>
    <w:rsid w:val="00915CDC"/>
    <w:rsid w:val="00915CF5"/>
    <w:rsid w:val="00916D12"/>
    <w:rsid w:val="00917C4E"/>
    <w:rsid w:val="00920FC9"/>
    <w:rsid w:val="00922B82"/>
    <w:rsid w:val="00922CBB"/>
    <w:rsid w:val="00923DE1"/>
    <w:rsid w:val="009246E7"/>
    <w:rsid w:val="00924B73"/>
    <w:rsid w:val="00927428"/>
    <w:rsid w:val="009328D8"/>
    <w:rsid w:val="00932ACC"/>
    <w:rsid w:val="00933B48"/>
    <w:rsid w:val="00933FFC"/>
    <w:rsid w:val="00934AB6"/>
    <w:rsid w:val="00941E46"/>
    <w:rsid w:val="00942E67"/>
    <w:rsid w:val="00944EDE"/>
    <w:rsid w:val="009457DD"/>
    <w:rsid w:val="0094738F"/>
    <w:rsid w:val="00947414"/>
    <w:rsid w:val="0094753D"/>
    <w:rsid w:val="00947C85"/>
    <w:rsid w:val="009514A2"/>
    <w:rsid w:val="00951F50"/>
    <w:rsid w:val="00952EBC"/>
    <w:rsid w:val="009533F0"/>
    <w:rsid w:val="00953A5E"/>
    <w:rsid w:val="00953DA4"/>
    <w:rsid w:val="00954843"/>
    <w:rsid w:val="00954C22"/>
    <w:rsid w:val="00954DAB"/>
    <w:rsid w:val="009552A6"/>
    <w:rsid w:val="009555AC"/>
    <w:rsid w:val="00955BFA"/>
    <w:rsid w:val="00961761"/>
    <w:rsid w:val="00963735"/>
    <w:rsid w:val="00963A33"/>
    <w:rsid w:val="00963EA5"/>
    <w:rsid w:val="009648A4"/>
    <w:rsid w:val="00964AA2"/>
    <w:rsid w:val="009667E2"/>
    <w:rsid w:val="00967927"/>
    <w:rsid w:val="009706AF"/>
    <w:rsid w:val="0097090A"/>
    <w:rsid w:val="009712F9"/>
    <w:rsid w:val="0097137C"/>
    <w:rsid w:val="0097295A"/>
    <w:rsid w:val="00973A60"/>
    <w:rsid w:val="0097552D"/>
    <w:rsid w:val="009772B4"/>
    <w:rsid w:val="0098199E"/>
    <w:rsid w:val="009822EE"/>
    <w:rsid w:val="00983089"/>
    <w:rsid w:val="00983FB1"/>
    <w:rsid w:val="00985D92"/>
    <w:rsid w:val="00986260"/>
    <w:rsid w:val="00991522"/>
    <w:rsid w:val="00991B79"/>
    <w:rsid w:val="00992319"/>
    <w:rsid w:val="0099304B"/>
    <w:rsid w:val="0099327F"/>
    <w:rsid w:val="00994974"/>
    <w:rsid w:val="00995E5F"/>
    <w:rsid w:val="00995E9F"/>
    <w:rsid w:val="009A11BB"/>
    <w:rsid w:val="009A1BA3"/>
    <w:rsid w:val="009A1F99"/>
    <w:rsid w:val="009A2E5C"/>
    <w:rsid w:val="009A417C"/>
    <w:rsid w:val="009A58BC"/>
    <w:rsid w:val="009A76AE"/>
    <w:rsid w:val="009B0120"/>
    <w:rsid w:val="009B63C6"/>
    <w:rsid w:val="009B7F18"/>
    <w:rsid w:val="009C07E5"/>
    <w:rsid w:val="009C0C6D"/>
    <w:rsid w:val="009C131F"/>
    <w:rsid w:val="009C1712"/>
    <w:rsid w:val="009C7D6E"/>
    <w:rsid w:val="009C7FA4"/>
    <w:rsid w:val="009D1601"/>
    <w:rsid w:val="009D3E13"/>
    <w:rsid w:val="009D5A69"/>
    <w:rsid w:val="009D5B27"/>
    <w:rsid w:val="009D65C3"/>
    <w:rsid w:val="009E30B0"/>
    <w:rsid w:val="009E3408"/>
    <w:rsid w:val="009E4003"/>
    <w:rsid w:val="009E5DB7"/>
    <w:rsid w:val="009E5DF8"/>
    <w:rsid w:val="009F0410"/>
    <w:rsid w:val="009F1A1C"/>
    <w:rsid w:val="009F24B6"/>
    <w:rsid w:val="009F2917"/>
    <w:rsid w:val="009F35CD"/>
    <w:rsid w:val="009F5C03"/>
    <w:rsid w:val="00A02766"/>
    <w:rsid w:val="00A03CE2"/>
    <w:rsid w:val="00A057B2"/>
    <w:rsid w:val="00A06500"/>
    <w:rsid w:val="00A07173"/>
    <w:rsid w:val="00A07B81"/>
    <w:rsid w:val="00A117D6"/>
    <w:rsid w:val="00A120BF"/>
    <w:rsid w:val="00A12716"/>
    <w:rsid w:val="00A14155"/>
    <w:rsid w:val="00A14AF1"/>
    <w:rsid w:val="00A20C5E"/>
    <w:rsid w:val="00A23641"/>
    <w:rsid w:val="00A23AAE"/>
    <w:rsid w:val="00A27037"/>
    <w:rsid w:val="00A2787D"/>
    <w:rsid w:val="00A30D54"/>
    <w:rsid w:val="00A30D6A"/>
    <w:rsid w:val="00A31637"/>
    <w:rsid w:val="00A31737"/>
    <w:rsid w:val="00A31CA8"/>
    <w:rsid w:val="00A32D84"/>
    <w:rsid w:val="00A3347F"/>
    <w:rsid w:val="00A336D1"/>
    <w:rsid w:val="00A340EB"/>
    <w:rsid w:val="00A35174"/>
    <w:rsid w:val="00A3535C"/>
    <w:rsid w:val="00A35D2E"/>
    <w:rsid w:val="00A37256"/>
    <w:rsid w:val="00A41C68"/>
    <w:rsid w:val="00A4409B"/>
    <w:rsid w:val="00A4469B"/>
    <w:rsid w:val="00A44816"/>
    <w:rsid w:val="00A44E90"/>
    <w:rsid w:val="00A467DB"/>
    <w:rsid w:val="00A51FD8"/>
    <w:rsid w:val="00A521FF"/>
    <w:rsid w:val="00A54222"/>
    <w:rsid w:val="00A549DC"/>
    <w:rsid w:val="00A554B9"/>
    <w:rsid w:val="00A558EE"/>
    <w:rsid w:val="00A560D9"/>
    <w:rsid w:val="00A5740D"/>
    <w:rsid w:val="00A57BB4"/>
    <w:rsid w:val="00A61497"/>
    <w:rsid w:val="00A61C94"/>
    <w:rsid w:val="00A62BB7"/>
    <w:rsid w:val="00A62BEC"/>
    <w:rsid w:val="00A6307D"/>
    <w:rsid w:val="00A65D83"/>
    <w:rsid w:val="00A71632"/>
    <w:rsid w:val="00A71ECD"/>
    <w:rsid w:val="00A728BF"/>
    <w:rsid w:val="00A73286"/>
    <w:rsid w:val="00A748B3"/>
    <w:rsid w:val="00A753D4"/>
    <w:rsid w:val="00A76DDD"/>
    <w:rsid w:val="00A802CA"/>
    <w:rsid w:val="00A80BF9"/>
    <w:rsid w:val="00A81BAF"/>
    <w:rsid w:val="00A82156"/>
    <w:rsid w:val="00A83821"/>
    <w:rsid w:val="00A84AEC"/>
    <w:rsid w:val="00A85009"/>
    <w:rsid w:val="00A86F8C"/>
    <w:rsid w:val="00A95A7D"/>
    <w:rsid w:val="00AA1106"/>
    <w:rsid w:val="00AA17EA"/>
    <w:rsid w:val="00AA1A9F"/>
    <w:rsid w:val="00AA2DBD"/>
    <w:rsid w:val="00AA2E1B"/>
    <w:rsid w:val="00AA3276"/>
    <w:rsid w:val="00AA5AB9"/>
    <w:rsid w:val="00AA5B0E"/>
    <w:rsid w:val="00AA6478"/>
    <w:rsid w:val="00AA664E"/>
    <w:rsid w:val="00AA6EEB"/>
    <w:rsid w:val="00AB22D5"/>
    <w:rsid w:val="00AB3087"/>
    <w:rsid w:val="00AB328B"/>
    <w:rsid w:val="00AB393C"/>
    <w:rsid w:val="00AB4659"/>
    <w:rsid w:val="00AB58B7"/>
    <w:rsid w:val="00AB5E2C"/>
    <w:rsid w:val="00AB6D91"/>
    <w:rsid w:val="00AC04B4"/>
    <w:rsid w:val="00AC1FAC"/>
    <w:rsid w:val="00AC3A1E"/>
    <w:rsid w:val="00AC4346"/>
    <w:rsid w:val="00AC5842"/>
    <w:rsid w:val="00AC59E8"/>
    <w:rsid w:val="00AC6201"/>
    <w:rsid w:val="00AC6A67"/>
    <w:rsid w:val="00AD02F7"/>
    <w:rsid w:val="00AD0A6A"/>
    <w:rsid w:val="00AD20FF"/>
    <w:rsid w:val="00AD2176"/>
    <w:rsid w:val="00AD3621"/>
    <w:rsid w:val="00AD3CF3"/>
    <w:rsid w:val="00AD709E"/>
    <w:rsid w:val="00AE08D9"/>
    <w:rsid w:val="00AE4C1C"/>
    <w:rsid w:val="00AE545D"/>
    <w:rsid w:val="00AE6695"/>
    <w:rsid w:val="00AF0B86"/>
    <w:rsid w:val="00AF14F9"/>
    <w:rsid w:val="00AF15D4"/>
    <w:rsid w:val="00AF1A0F"/>
    <w:rsid w:val="00AF2077"/>
    <w:rsid w:val="00AF481E"/>
    <w:rsid w:val="00AF4EB1"/>
    <w:rsid w:val="00AF66BB"/>
    <w:rsid w:val="00AF7ED4"/>
    <w:rsid w:val="00B01CA9"/>
    <w:rsid w:val="00B0209B"/>
    <w:rsid w:val="00B02A10"/>
    <w:rsid w:val="00B0337A"/>
    <w:rsid w:val="00B035F5"/>
    <w:rsid w:val="00B049D7"/>
    <w:rsid w:val="00B068A3"/>
    <w:rsid w:val="00B117E0"/>
    <w:rsid w:val="00B119FE"/>
    <w:rsid w:val="00B12DE6"/>
    <w:rsid w:val="00B15C70"/>
    <w:rsid w:val="00B1698A"/>
    <w:rsid w:val="00B17020"/>
    <w:rsid w:val="00B22D58"/>
    <w:rsid w:val="00B23DA8"/>
    <w:rsid w:val="00B24D49"/>
    <w:rsid w:val="00B31B05"/>
    <w:rsid w:val="00B33107"/>
    <w:rsid w:val="00B3363F"/>
    <w:rsid w:val="00B33CAB"/>
    <w:rsid w:val="00B34ADC"/>
    <w:rsid w:val="00B35146"/>
    <w:rsid w:val="00B37A14"/>
    <w:rsid w:val="00B4050A"/>
    <w:rsid w:val="00B40904"/>
    <w:rsid w:val="00B40A8E"/>
    <w:rsid w:val="00B40B5F"/>
    <w:rsid w:val="00B40B91"/>
    <w:rsid w:val="00B42FEB"/>
    <w:rsid w:val="00B46848"/>
    <w:rsid w:val="00B47F66"/>
    <w:rsid w:val="00B52118"/>
    <w:rsid w:val="00B536CC"/>
    <w:rsid w:val="00B5603F"/>
    <w:rsid w:val="00B570E0"/>
    <w:rsid w:val="00B60A7D"/>
    <w:rsid w:val="00B61461"/>
    <w:rsid w:val="00B618C2"/>
    <w:rsid w:val="00B61F4B"/>
    <w:rsid w:val="00B63423"/>
    <w:rsid w:val="00B636B2"/>
    <w:rsid w:val="00B63CE1"/>
    <w:rsid w:val="00B640A7"/>
    <w:rsid w:val="00B6420B"/>
    <w:rsid w:val="00B64DF5"/>
    <w:rsid w:val="00B64EB1"/>
    <w:rsid w:val="00B651A9"/>
    <w:rsid w:val="00B651C4"/>
    <w:rsid w:val="00B65930"/>
    <w:rsid w:val="00B67E5D"/>
    <w:rsid w:val="00B70594"/>
    <w:rsid w:val="00B71423"/>
    <w:rsid w:val="00B71D9B"/>
    <w:rsid w:val="00B71E90"/>
    <w:rsid w:val="00B72F04"/>
    <w:rsid w:val="00B769CA"/>
    <w:rsid w:val="00B7713D"/>
    <w:rsid w:val="00B801A0"/>
    <w:rsid w:val="00B80E2B"/>
    <w:rsid w:val="00B823BD"/>
    <w:rsid w:val="00B84223"/>
    <w:rsid w:val="00B862BC"/>
    <w:rsid w:val="00B87529"/>
    <w:rsid w:val="00B87C2A"/>
    <w:rsid w:val="00B87F7B"/>
    <w:rsid w:val="00B90129"/>
    <w:rsid w:val="00B904BF"/>
    <w:rsid w:val="00B908C0"/>
    <w:rsid w:val="00B909BB"/>
    <w:rsid w:val="00B932FD"/>
    <w:rsid w:val="00BA2B6E"/>
    <w:rsid w:val="00BA4A3E"/>
    <w:rsid w:val="00BA794E"/>
    <w:rsid w:val="00BB12BF"/>
    <w:rsid w:val="00BB1A1E"/>
    <w:rsid w:val="00BB1FD6"/>
    <w:rsid w:val="00BB2B88"/>
    <w:rsid w:val="00BB34E6"/>
    <w:rsid w:val="00BB6A0C"/>
    <w:rsid w:val="00BB6E4C"/>
    <w:rsid w:val="00BC049D"/>
    <w:rsid w:val="00BC1956"/>
    <w:rsid w:val="00BC1BA8"/>
    <w:rsid w:val="00BC1DB2"/>
    <w:rsid w:val="00BC1F65"/>
    <w:rsid w:val="00BC38DE"/>
    <w:rsid w:val="00BC44C0"/>
    <w:rsid w:val="00BC4CCE"/>
    <w:rsid w:val="00BC7C66"/>
    <w:rsid w:val="00BD0817"/>
    <w:rsid w:val="00BD15BC"/>
    <w:rsid w:val="00BD1F09"/>
    <w:rsid w:val="00BD293B"/>
    <w:rsid w:val="00BD3720"/>
    <w:rsid w:val="00BD4DF6"/>
    <w:rsid w:val="00BD5711"/>
    <w:rsid w:val="00BD6620"/>
    <w:rsid w:val="00BE2BA3"/>
    <w:rsid w:val="00BE341F"/>
    <w:rsid w:val="00BE434D"/>
    <w:rsid w:val="00BE4C61"/>
    <w:rsid w:val="00BE61BB"/>
    <w:rsid w:val="00BE67FC"/>
    <w:rsid w:val="00BE7679"/>
    <w:rsid w:val="00BF0DC1"/>
    <w:rsid w:val="00BF0F40"/>
    <w:rsid w:val="00BF28B2"/>
    <w:rsid w:val="00BF49CB"/>
    <w:rsid w:val="00BF7E59"/>
    <w:rsid w:val="00C00AA5"/>
    <w:rsid w:val="00C02B76"/>
    <w:rsid w:val="00C0698A"/>
    <w:rsid w:val="00C0797E"/>
    <w:rsid w:val="00C130EE"/>
    <w:rsid w:val="00C14705"/>
    <w:rsid w:val="00C149EF"/>
    <w:rsid w:val="00C14D5B"/>
    <w:rsid w:val="00C14E17"/>
    <w:rsid w:val="00C166FA"/>
    <w:rsid w:val="00C1729C"/>
    <w:rsid w:val="00C203B8"/>
    <w:rsid w:val="00C21A32"/>
    <w:rsid w:val="00C23A4D"/>
    <w:rsid w:val="00C25980"/>
    <w:rsid w:val="00C269AA"/>
    <w:rsid w:val="00C27014"/>
    <w:rsid w:val="00C309C6"/>
    <w:rsid w:val="00C32178"/>
    <w:rsid w:val="00C32A7D"/>
    <w:rsid w:val="00C335A6"/>
    <w:rsid w:val="00C3367F"/>
    <w:rsid w:val="00C34242"/>
    <w:rsid w:val="00C36140"/>
    <w:rsid w:val="00C404E9"/>
    <w:rsid w:val="00C424FA"/>
    <w:rsid w:val="00C43924"/>
    <w:rsid w:val="00C4728F"/>
    <w:rsid w:val="00C5100C"/>
    <w:rsid w:val="00C5157D"/>
    <w:rsid w:val="00C52C13"/>
    <w:rsid w:val="00C52DD4"/>
    <w:rsid w:val="00C53A24"/>
    <w:rsid w:val="00C55ECB"/>
    <w:rsid w:val="00C579CE"/>
    <w:rsid w:val="00C57DE3"/>
    <w:rsid w:val="00C60E3F"/>
    <w:rsid w:val="00C61696"/>
    <w:rsid w:val="00C62D01"/>
    <w:rsid w:val="00C66EFA"/>
    <w:rsid w:val="00C678E6"/>
    <w:rsid w:val="00C7185D"/>
    <w:rsid w:val="00C7232F"/>
    <w:rsid w:val="00C736E5"/>
    <w:rsid w:val="00C7399B"/>
    <w:rsid w:val="00C74540"/>
    <w:rsid w:val="00C7470F"/>
    <w:rsid w:val="00C7488A"/>
    <w:rsid w:val="00C75182"/>
    <w:rsid w:val="00C75D57"/>
    <w:rsid w:val="00C76122"/>
    <w:rsid w:val="00C764AE"/>
    <w:rsid w:val="00C765C3"/>
    <w:rsid w:val="00C76616"/>
    <w:rsid w:val="00C768F4"/>
    <w:rsid w:val="00C76DFD"/>
    <w:rsid w:val="00C7736E"/>
    <w:rsid w:val="00C80E7F"/>
    <w:rsid w:val="00C820A2"/>
    <w:rsid w:val="00C82E0D"/>
    <w:rsid w:val="00C82F2E"/>
    <w:rsid w:val="00C835A6"/>
    <w:rsid w:val="00C83729"/>
    <w:rsid w:val="00C904F7"/>
    <w:rsid w:val="00C917FC"/>
    <w:rsid w:val="00C91C40"/>
    <w:rsid w:val="00C929EC"/>
    <w:rsid w:val="00C93842"/>
    <w:rsid w:val="00C94BF1"/>
    <w:rsid w:val="00C94F45"/>
    <w:rsid w:val="00C96F77"/>
    <w:rsid w:val="00CA1257"/>
    <w:rsid w:val="00CA1BB9"/>
    <w:rsid w:val="00CA4C11"/>
    <w:rsid w:val="00CA5434"/>
    <w:rsid w:val="00CA5FEB"/>
    <w:rsid w:val="00CA60F4"/>
    <w:rsid w:val="00CA72F5"/>
    <w:rsid w:val="00CA757D"/>
    <w:rsid w:val="00CB08DD"/>
    <w:rsid w:val="00CB08DF"/>
    <w:rsid w:val="00CB1323"/>
    <w:rsid w:val="00CB1335"/>
    <w:rsid w:val="00CB5CAD"/>
    <w:rsid w:val="00CB7D51"/>
    <w:rsid w:val="00CC034B"/>
    <w:rsid w:val="00CC3807"/>
    <w:rsid w:val="00CC3813"/>
    <w:rsid w:val="00CC515E"/>
    <w:rsid w:val="00CC70E2"/>
    <w:rsid w:val="00CC7420"/>
    <w:rsid w:val="00CD1B15"/>
    <w:rsid w:val="00CD28C6"/>
    <w:rsid w:val="00CD3011"/>
    <w:rsid w:val="00CD349E"/>
    <w:rsid w:val="00CD60AE"/>
    <w:rsid w:val="00CD6385"/>
    <w:rsid w:val="00CD7B21"/>
    <w:rsid w:val="00CD7EA2"/>
    <w:rsid w:val="00CE0712"/>
    <w:rsid w:val="00CE0990"/>
    <w:rsid w:val="00CE26D3"/>
    <w:rsid w:val="00CE3622"/>
    <w:rsid w:val="00CE405C"/>
    <w:rsid w:val="00CE5747"/>
    <w:rsid w:val="00CE57ED"/>
    <w:rsid w:val="00CE58B1"/>
    <w:rsid w:val="00CE5A7F"/>
    <w:rsid w:val="00CE6339"/>
    <w:rsid w:val="00CE6AED"/>
    <w:rsid w:val="00CE759E"/>
    <w:rsid w:val="00CE7B40"/>
    <w:rsid w:val="00CE7CCC"/>
    <w:rsid w:val="00CF048C"/>
    <w:rsid w:val="00CF3268"/>
    <w:rsid w:val="00CF437B"/>
    <w:rsid w:val="00CF44B9"/>
    <w:rsid w:val="00CF4BDA"/>
    <w:rsid w:val="00CF4ECF"/>
    <w:rsid w:val="00CF6631"/>
    <w:rsid w:val="00CF766D"/>
    <w:rsid w:val="00D02908"/>
    <w:rsid w:val="00D029F8"/>
    <w:rsid w:val="00D04BEE"/>
    <w:rsid w:val="00D062B7"/>
    <w:rsid w:val="00D07B5A"/>
    <w:rsid w:val="00D10604"/>
    <w:rsid w:val="00D107A0"/>
    <w:rsid w:val="00D12EA6"/>
    <w:rsid w:val="00D14DA8"/>
    <w:rsid w:val="00D15319"/>
    <w:rsid w:val="00D155D5"/>
    <w:rsid w:val="00D15A84"/>
    <w:rsid w:val="00D17788"/>
    <w:rsid w:val="00D17A30"/>
    <w:rsid w:val="00D21DA5"/>
    <w:rsid w:val="00D2233A"/>
    <w:rsid w:val="00D22367"/>
    <w:rsid w:val="00D223A3"/>
    <w:rsid w:val="00D24794"/>
    <w:rsid w:val="00D259AD"/>
    <w:rsid w:val="00D26C65"/>
    <w:rsid w:val="00D27FB3"/>
    <w:rsid w:val="00D31CF8"/>
    <w:rsid w:val="00D31FB2"/>
    <w:rsid w:val="00D33DC6"/>
    <w:rsid w:val="00D3416B"/>
    <w:rsid w:val="00D35B79"/>
    <w:rsid w:val="00D37813"/>
    <w:rsid w:val="00D37BB5"/>
    <w:rsid w:val="00D418F7"/>
    <w:rsid w:val="00D41D9B"/>
    <w:rsid w:val="00D42245"/>
    <w:rsid w:val="00D429B8"/>
    <w:rsid w:val="00D43CF0"/>
    <w:rsid w:val="00D443AE"/>
    <w:rsid w:val="00D44A1A"/>
    <w:rsid w:val="00D45464"/>
    <w:rsid w:val="00D46F64"/>
    <w:rsid w:val="00D51DFE"/>
    <w:rsid w:val="00D524E1"/>
    <w:rsid w:val="00D538E2"/>
    <w:rsid w:val="00D55F3A"/>
    <w:rsid w:val="00D56842"/>
    <w:rsid w:val="00D56886"/>
    <w:rsid w:val="00D57F72"/>
    <w:rsid w:val="00D61592"/>
    <w:rsid w:val="00D65752"/>
    <w:rsid w:val="00D676DF"/>
    <w:rsid w:val="00D67E75"/>
    <w:rsid w:val="00D722D1"/>
    <w:rsid w:val="00D723E8"/>
    <w:rsid w:val="00D73F92"/>
    <w:rsid w:val="00D758E7"/>
    <w:rsid w:val="00D76650"/>
    <w:rsid w:val="00D81598"/>
    <w:rsid w:val="00D81BD0"/>
    <w:rsid w:val="00D824D9"/>
    <w:rsid w:val="00D8275B"/>
    <w:rsid w:val="00D82C8E"/>
    <w:rsid w:val="00D83126"/>
    <w:rsid w:val="00D83B3C"/>
    <w:rsid w:val="00D84A15"/>
    <w:rsid w:val="00D85C0B"/>
    <w:rsid w:val="00D862D3"/>
    <w:rsid w:val="00D92061"/>
    <w:rsid w:val="00D954B6"/>
    <w:rsid w:val="00D9589A"/>
    <w:rsid w:val="00D95C9B"/>
    <w:rsid w:val="00D9709B"/>
    <w:rsid w:val="00D9714E"/>
    <w:rsid w:val="00D9722D"/>
    <w:rsid w:val="00DA3413"/>
    <w:rsid w:val="00DB00FF"/>
    <w:rsid w:val="00DB1244"/>
    <w:rsid w:val="00DB1974"/>
    <w:rsid w:val="00DB1B38"/>
    <w:rsid w:val="00DB225D"/>
    <w:rsid w:val="00DB3BEE"/>
    <w:rsid w:val="00DB5157"/>
    <w:rsid w:val="00DB558A"/>
    <w:rsid w:val="00DB5623"/>
    <w:rsid w:val="00DB59DF"/>
    <w:rsid w:val="00DB6D9F"/>
    <w:rsid w:val="00DC1FEA"/>
    <w:rsid w:val="00DC2DF1"/>
    <w:rsid w:val="00DC30F2"/>
    <w:rsid w:val="00DC6571"/>
    <w:rsid w:val="00DD3E9C"/>
    <w:rsid w:val="00DD40EA"/>
    <w:rsid w:val="00DD53FF"/>
    <w:rsid w:val="00DD5C17"/>
    <w:rsid w:val="00DD5FA2"/>
    <w:rsid w:val="00DD68D4"/>
    <w:rsid w:val="00DD736A"/>
    <w:rsid w:val="00DD7EE9"/>
    <w:rsid w:val="00DE090B"/>
    <w:rsid w:val="00DE0BF3"/>
    <w:rsid w:val="00DE14FF"/>
    <w:rsid w:val="00DE1606"/>
    <w:rsid w:val="00DE215D"/>
    <w:rsid w:val="00DE4BBB"/>
    <w:rsid w:val="00DE70F2"/>
    <w:rsid w:val="00DE72D1"/>
    <w:rsid w:val="00DF0485"/>
    <w:rsid w:val="00DF0616"/>
    <w:rsid w:val="00DF15F4"/>
    <w:rsid w:val="00DF29F9"/>
    <w:rsid w:val="00DF389C"/>
    <w:rsid w:val="00DF38C0"/>
    <w:rsid w:val="00DF63AB"/>
    <w:rsid w:val="00DF7E98"/>
    <w:rsid w:val="00E00447"/>
    <w:rsid w:val="00E01DED"/>
    <w:rsid w:val="00E02B67"/>
    <w:rsid w:val="00E02F01"/>
    <w:rsid w:val="00E033F0"/>
    <w:rsid w:val="00E033FB"/>
    <w:rsid w:val="00E043F8"/>
    <w:rsid w:val="00E06F10"/>
    <w:rsid w:val="00E071D4"/>
    <w:rsid w:val="00E11988"/>
    <w:rsid w:val="00E12E97"/>
    <w:rsid w:val="00E15A51"/>
    <w:rsid w:val="00E16626"/>
    <w:rsid w:val="00E16A2E"/>
    <w:rsid w:val="00E1722C"/>
    <w:rsid w:val="00E1739E"/>
    <w:rsid w:val="00E23652"/>
    <w:rsid w:val="00E24D09"/>
    <w:rsid w:val="00E24F0C"/>
    <w:rsid w:val="00E2569A"/>
    <w:rsid w:val="00E25ECA"/>
    <w:rsid w:val="00E26E45"/>
    <w:rsid w:val="00E2791E"/>
    <w:rsid w:val="00E27A6C"/>
    <w:rsid w:val="00E307C4"/>
    <w:rsid w:val="00E31766"/>
    <w:rsid w:val="00E324B8"/>
    <w:rsid w:val="00E32FAC"/>
    <w:rsid w:val="00E34629"/>
    <w:rsid w:val="00E368C3"/>
    <w:rsid w:val="00E42B86"/>
    <w:rsid w:val="00E43389"/>
    <w:rsid w:val="00E43F47"/>
    <w:rsid w:val="00E4416B"/>
    <w:rsid w:val="00E454AA"/>
    <w:rsid w:val="00E469BD"/>
    <w:rsid w:val="00E477D6"/>
    <w:rsid w:val="00E50303"/>
    <w:rsid w:val="00E539CE"/>
    <w:rsid w:val="00E53DE0"/>
    <w:rsid w:val="00E54164"/>
    <w:rsid w:val="00E54B0A"/>
    <w:rsid w:val="00E60352"/>
    <w:rsid w:val="00E62BEA"/>
    <w:rsid w:val="00E645A4"/>
    <w:rsid w:val="00E646FE"/>
    <w:rsid w:val="00E666E9"/>
    <w:rsid w:val="00E66C3D"/>
    <w:rsid w:val="00E66D04"/>
    <w:rsid w:val="00E66D19"/>
    <w:rsid w:val="00E679F0"/>
    <w:rsid w:val="00E70AB1"/>
    <w:rsid w:val="00E724C1"/>
    <w:rsid w:val="00E75D21"/>
    <w:rsid w:val="00E761F8"/>
    <w:rsid w:val="00E770EF"/>
    <w:rsid w:val="00E80FD7"/>
    <w:rsid w:val="00E817E7"/>
    <w:rsid w:val="00E82461"/>
    <w:rsid w:val="00E82901"/>
    <w:rsid w:val="00E83497"/>
    <w:rsid w:val="00E84D3E"/>
    <w:rsid w:val="00E850E2"/>
    <w:rsid w:val="00E8690F"/>
    <w:rsid w:val="00E86ADB"/>
    <w:rsid w:val="00E86F2E"/>
    <w:rsid w:val="00E9170D"/>
    <w:rsid w:val="00E919C0"/>
    <w:rsid w:val="00E91C81"/>
    <w:rsid w:val="00E9353A"/>
    <w:rsid w:val="00E938FC"/>
    <w:rsid w:val="00E939A8"/>
    <w:rsid w:val="00E94362"/>
    <w:rsid w:val="00E94C86"/>
    <w:rsid w:val="00E94DF8"/>
    <w:rsid w:val="00E95CDE"/>
    <w:rsid w:val="00E96601"/>
    <w:rsid w:val="00E968AA"/>
    <w:rsid w:val="00E97108"/>
    <w:rsid w:val="00E97758"/>
    <w:rsid w:val="00EA05D5"/>
    <w:rsid w:val="00EA0D72"/>
    <w:rsid w:val="00EA1E2C"/>
    <w:rsid w:val="00EA496F"/>
    <w:rsid w:val="00EA5030"/>
    <w:rsid w:val="00EA51B7"/>
    <w:rsid w:val="00EA5936"/>
    <w:rsid w:val="00EA604E"/>
    <w:rsid w:val="00EA7887"/>
    <w:rsid w:val="00EA79BE"/>
    <w:rsid w:val="00EB0AE6"/>
    <w:rsid w:val="00EB1789"/>
    <w:rsid w:val="00EB18DB"/>
    <w:rsid w:val="00EB1E6A"/>
    <w:rsid w:val="00EB1E6D"/>
    <w:rsid w:val="00EB4C1F"/>
    <w:rsid w:val="00EB67E7"/>
    <w:rsid w:val="00EB6847"/>
    <w:rsid w:val="00EB6A35"/>
    <w:rsid w:val="00EB6C5A"/>
    <w:rsid w:val="00EB734E"/>
    <w:rsid w:val="00EB7441"/>
    <w:rsid w:val="00EB7DB0"/>
    <w:rsid w:val="00EC06FB"/>
    <w:rsid w:val="00EC08E9"/>
    <w:rsid w:val="00EC0B3B"/>
    <w:rsid w:val="00EC27E4"/>
    <w:rsid w:val="00EC28FB"/>
    <w:rsid w:val="00EC4AA6"/>
    <w:rsid w:val="00EC5D7F"/>
    <w:rsid w:val="00EC7CDB"/>
    <w:rsid w:val="00ED0BB1"/>
    <w:rsid w:val="00ED3347"/>
    <w:rsid w:val="00ED5216"/>
    <w:rsid w:val="00ED5FAC"/>
    <w:rsid w:val="00ED620C"/>
    <w:rsid w:val="00ED6C4F"/>
    <w:rsid w:val="00ED738F"/>
    <w:rsid w:val="00ED74CB"/>
    <w:rsid w:val="00ED76A3"/>
    <w:rsid w:val="00EE035F"/>
    <w:rsid w:val="00EE1219"/>
    <w:rsid w:val="00EE288D"/>
    <w:rsid w:val="00EE29E8"/>
    <w:rsid w:val="00EE337A"/>
    <w:rsid w:val="00EE772E"/>
    <w:rsid w:val="00EF1E81"/>
    <w:rsid w:val="00F00C82"/>
    <w:rsid w:val="00F00FDD"/>
    <w:rsid w:val="00F02940"/>
    <w:rsid w:val="00F02ACB"/>
    <w:rsid w:val="00F037FD"/>
    <w:rsid w:val="00F03AD9"/>
    <w:rsid w:val="00F04217"/>
    <w:rsid w:val="00F0771F"/>
    <w:rsid w:val="00F1030E"/>
    <w:rsid w:val="00F10DF9"/>
    <w:rsid w:val="00F16C2A"/>
    <w:rsid w:val="00F177F4"/>
    <w:rsid w:val="00F23036"/>
    <w:rsid w:val="00F2436D"/>
    <w:rsid w:val="00F256EA"/>
    <w:rsid w:val="00F27C67"/>
    <w:rsid w:val="00F27E72"/>
    <w:rsid w:val="00F315DD"/>
    <w:rsid w:val="00F31953"/>
    <w:rsid w:val="00F31A8F"/>
    <w:rsid w:val="00F32663"/>
    <w:rsid w:val="00F35B83"/>
    <w:rsid w:val="00F3689A"/>
    <w:rsid w:val="00F41003"/>
    <w:rsid w:val="00F42ACE"/>
    <w:rsid w:val="00F42E6D"/>
    <w:rsid w:val="00F43CED"/>
    <w:rsid w:val="00F44BB4"/>
    <w:rsid w:val="00F45003"/>
    <w:rsid w:val="00F47141"/>
    <w:rsid w:val="00F5162E"/>
    <w:rsid w:val="00F56A77"/>
    <w:rsid w:val="00F6223B"/>
    <w:rsid w:val="00F6342E"/>
    <w:rsid w:val="00F6453C"/>
    <w:rsid w:val="00F65777"/>
    <w:rsid w:val="00F65780"/>
    <w:rsid w:val="00F657DA"/>
    <w:rsid w:val="00F65C38"/>
    <w:rsid w:val="00F65F4C"/>
    <w:rsid w:val="00F701A5"/>
    <w:rsid w:val="00F71205"/>
    <w:rsid w:val="00F71342"/>
    <w:rsid w:val="00F7174F"/>
    <w:rsid w:val="00F71D7F"/>
    <w:rsid w:val="00F73973"/>
    <w:rsid w:val="00F73FB3"/>
    <w:rsid w:val="00F74A8E"/>
    <w:rsid w:val="00F77605"/>
    <w:rsid w:val="00F7764B"/>
    <w:rsid w:val="00F802A2"/>
    <w:rsid w:val="00F8047D"/>
    <w:rsid w:val="00F80A66"/>
    <w:rsid w:val="00F81131"/>
    <w:rsid w:val="00F84424"/>
    <w:rsid w:val="00F84BD6"/>
    <w:rsid w:val="00F91857"/>
    <w:rsid w:val="00F926CE"/>
    <w:rsid w:val="00F92A92"/>
    <w:rsid w:val="00F93691"/>
    <w:rsid w:val="00F93FA5"/>
    <w:rsid w:val="00F95125"/>
    <w:rsid w:val="00F96A79"/>
    <w:rsid w:val="00F97AF8"/>
    <w:rsid w:val="00FA011B"/>
    <w:rsid w:val="00FA03DD"/>
    <w:rsid w:val="00FA08BA"/>
    <w:rsid w:val="00FA0D2B"/>
    <w:rsid w:val="00FA0E29"/>
    <w:rsid w:val="00FA2852"/>
    <w:rsid w:val="00FA3918"/>
    <w:rsid w:val="00FA4585"/>
    <w:rsid w:val="00FB214D"/>
    <w:rsid w:val="00FB275F"/>
    <w:rsid w:val="00FB3175"/>
    <w:rsid w:val="00FB3877"/>
    <w:rsid w:val="00FB3B94"/>
    <w:rsid w:val="00FB42CC"/>
    <w:rsid w:val="00FB5056"/>
    <w:rsid w:val="00FB5BA9"/>
    <w:rsid w:val="00FB6785"/>
    <w:rsid w:val="00FB6A9F"/>
    <w:rsid w:val="00FB6B1F"/>
    <w:rsid w:val="00FB7878"/>
    <w:rsid w:val="00FC16B3"/>
    <w:rsid w:val="00FC2E06"/>
    <w:rsid w:val="00FC505E"/>
    <w:rsid w:val="00FC52C1"/>
    <w:rsid w:val="00FC552D"/>
    <w:rsid w:val="00FC55B7"/>
    <w:rsid w:val="00FD0239"/>
    <w:rsid w:val="00FD07D0"/>
    <w:rsid w:val="00FD449E"/>
    <w:rsid w:val="00FD4B10"/>
    <w:rsid w:val="00FD4CEA"/>
    <w:rsid w:val="00FD7008"/>
    <w:rsid w:val="00FE1185"/>
    <w:rsid w:val="00FE1A3E"/>
    <w:rsid w:val="00FE1ED4"/>
    <w:rsid w:val="00FE45A9"/>
    <w:rsid w:val="00FE4BC3"/>
    <w:rsid w:val="00FE52F6"/>
    <w:rsid w:val="00FE59BA"/>
    <w:rsid w:val="00FF05D5"/>
    <w:rsid w:val="00FF1188"/>
    <w:rsid w:val="00FF182C"/>
    <w:rsid w:val="00FF21CB"/>
    <w:rsid w:val="00FF23BA"/>
    <w:rsid w:val="00FF29B3"/>
    <w:rsid w:val="00FF6F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CE1A78"/>
  <w15:chartTrackingRefBased/>
  <w15:docId w15:val="{0C0A8D11-E7A7-4EC5-BE43-EDE6C234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8B6"/>
  </w:style>
  <w:style w:type="paragraph" w:styleId="Titlu1">
    <w:name w:val="heading 1"/>
    <w:basedOn w:val="Normal"/>
    <w:next w:val="Normal"/>
    <w:link w:val="Titlu1Caracter"/>
    <w:uiPriority w:val="9"/>
    <w:qFormat/>
    <w:rsid w:val="00953D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unhideWhenUsed/>
    <w:qFormat/>
    <w:rsid w:val="00953D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unhideWhenUsed/>
    <w:qFormat/>
    <w:rsid w:val="00953DA4"/>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953DA4"/>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953DA4"/>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953DA4"/>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953DA4"/>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953DA4"/>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953DA4"/>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Smn">
    <w:name w:val="Smn"/>
    <w:link w:val="SmnChar"/>
    <w:qFormat/>
    <w:rsid w:val="00C76122"/>
    <w:pPr>
      <w:spacing w:before="120" w:after="120" w:line="240" w:lineRule="auto"/>
      <w:jc w:val="both"/>
    </w:pPr>
    <w:rPr>
      <w:rFonts w:ascii="Trebuchet MS" w:eastAsiaTheme="majorEastAsia" w:hAnsi="Trebuchet MS" w:cstheme="majorBidi"/>
      <w:color w:val="272727" w:themeColor="text1" w:themeTint="D8"/>
      <w:sz w:val="24"/>
      <w:szCs w:val="21"/>
    </w:rPr>
  </w:style>
  <w:style w:type="character" w:customStyle="1" w:styleId="SmnChar">
    <w:name w:val="Smn Char"/>
    <w:basedOn w:val="Fontdeparagrafimplicit"/>
    <w:link w:val="Smn"/>
    <w:rsid w:val="00C76122"/>
    <w:rPr>
      <w:rFonts w:ascii="Trebuchet MS" w:eastAsiaTheme="majorEastAsia" w:hAnsi="Trebuchet MS" w:cstheme="majorBidi"/>
      <w:color w:val="272727" w:themeColor="text1" w:themeTint="D8"/>
      <w:sz w:val="24"/>
      <w:szCs w:val="21"/>
    </w:rPr>
  </w:style>
  <w:style w:type="character" w:customStyle="1" w:styleId="Titlu1Caracter">
    <w:name w:val="Titlu 1 Caracter"/>
    <w:basedOn w:val="Fontdeparagrafimplicit"/>
    <w:link w:val="Titlu1"/>
    <w:uiPriority w:val="9"/>
    <w:rsid w:val="00953DA4"/>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rsid w:val="00953DA4"/>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rsid w:val="00953DA4"/>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953DA4"/>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953DA4"/>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953DA4"/>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953DA4"/>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953DA4"/>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953DA4"/>
    <w:rPr>
      <w:rFonts w:eastAsiaTheme="majorEastAsia" w:cstheme="majorBidi"/>
      <w:color w:val="272727" w:themeColor="text1" w:themeTint="D8"/>
    </w:rPr>
  </w:style>
  <w:style w:type="paragraph" w:styleId="Titlu">
    <w:name w:val="Title"/>
    <w:basedOn w:val="Normal"/>
    <w:next w:val="Normal"/>
    <w:link w:val="TitluCaracter"/>
    <w:uiPriority w:val="10"/>
    <w:qFormat/>
    <w:rsid w:val="00953D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953DA4"/>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953DA4"/>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953DA4"/>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953DA4"/>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953DA4"/>
    <w:rPr>
      <w:i/>
      <w:iCs/>
      <w:color w:val="404040" w:themeColor="text1" w:themeTint="BF"/>
    </w:rPr>
  </w:style>
  <w:style w:type="paragraph" w:styleId="Listparagraf">
    <w:name w:val="List Paragraph"/>
    <w:aliases w:val="Forth level,Normal bullet 2,body 2,List Paragraph11,List Paragraph111,List Paragraph compact,Paragraphe de liste 2,Reference list,Bullet list,Numbered List,List Paragraph1,1st level - Bullet List Paragraph,Lettre d'introduction,Paragraph"/>
    <w:basedOn w:val="Normal"/>
    <w:link w:val="ListparagrafCaracter"/>
    <w:uiPriority w:val="34"/>
    <w:qFormat/>
    <w:rsid w:val="00953DA4"/>
    <w:pPr>
      <w:ind w:left="720"/>
      <w:contextualSpacing/>
    </w:pPr>
  </w:style>
  <w:style w:type="character" w:styleId="Accentuareintens">
    <w:name w:val="Intense Emphasis"/>
    <w:basedOn w:val="Fontdeparagrafimplicit"/>
    <w:uiPriority w:val="21"/>
    <w:qFormat/>
    <w:rsid w:val="00953DA4"/>
    <w:rPr>
      <w:i/>
      <w:iCs/>
      <w:color w:val="2F5496" w:themeColor="accent1" w:themeShade="BF"/>
    </w:rPr>
  </w:style>
  <w:style w:type="paragraph" w:styleId="Citatintens">
    <w:name w:val="Intense Quote"/>
    <w:basedOn w:val="Normal"/>
    <w:next w:val="Normal"/>
    <w:link w:val="CitatintensCaracter"/>
    <w:uiPriority w:val="30"/>
    <w:qFormat/>
    <w:rsid w:val="00953D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953DA4"/>
    <w:rPr>
      <w:i/>
      <w:iCs/>
      <w:color w:val="2F5496" w:themeColor="accent1" w:themeShade="BF"/>
    </w:rPr>
  </w:style>
  <w:style w:type="character" w:styleId="Referireintens">
    <w:name w:val="Intense Reference"/>
    <w:basedOn w:val="Fontdeparagrafimplicit"/>
    <w:uiPriority w:val="32"/>
    <w:qFormat/>
    <w:rsid w:val="00953DA4"/>
    <w:rPr>
      <w:b/>
      <w:bCs/>
      <w:smallCaps/>
      <w:color w:val="2F5496" w:themeColor="accent1" w:themeShade="BF"/>
      <w:spacing w:val="5"/>
    </w:rPr>
  </w:style>
  <w:style w:type="paragraph" w:styleId="Frspaiere">
    <w:name w:val="No Spacing"/>
    <w:uiPriority w:val="1"/>
    <w:qFormat/>
    <w:rsid w:val="00E646FE"/>
    <w:pPr>
      <w:spacing w:after="0" w:line="240" w:lineRule="auto"/>
    </w:pPr>
  </w:style>
  <w:style w:type="paragraph" w:styleId="Titlucuprins">
    <w:name w:val="TOC Heading"/>
    <w:basedOn w:val="Titlu1"/>
    <w:next w:val="Normal"/>
    <w:uiPriority w:val="39"/>
    <w:unhideWhenUsed/>
    <w:qFormat/>
    <w:rsid w:val="00E469BD"/>
    <w:pPr>
      <w:spacing w:before="240" w:after="0"/>
      <w:outlineLvl w:val="9"/>
    </w:pPr>
    <w:rPr>
      <w:kern w:val="0"/>
      <w:sz w:val="32"/>
      <w:szCs w:val="32"/>
      <w:lang w:val="en-US"/>
      <w14:ligatures w14:val="none"/>
    </w:rPr>
  </w:style>
  <w:style w:type="paragraph" w:styleId="Cuprins1">
    <w:name w:val="toc 1"/>
    <w:basedOn w:val="Normal"/>
    <w:next w:val="Normal"/>
    <w:autoRedefine/>
    <w:uiPriority w:val="39"/>
    <w:unhideWhenUsed/>
    <w:rsid w:val="00E469BD"/>
    <w:pPr>
      <w:spacing w:after="100"/>
    </w:pPr>
  </w:style>
  <w:style w:type="paragraph" w:styleId="Cuprins2">
    <w:name w:val="toc 2"/>
    <w:basedOn w:val="Normal"/>
    <w:next w:val="Normal"/>
    <w:autoRedefine/>
    <w:uiPriority w:val="39"/>
    <w:unhideWhenUsed/>
    <w:rsid w:val="00E469BD"/>
    <w:pPr>
      <w:spacing w:after="100"/>
      <w:ind w:left="220"/>
    </w:pPr>
  </w:style>
  <w:style w:type="paragraph" w:styleId="Cuprins3">
    <w:name w:val="toc 3"/>
    <w:basedOn w:val="Normal"/>
    <w:next w:val="Normal"/>
    <w:autoRedefine/>
    <w:uiPriority w:val="39"/>
    <w:unhideWhenUsed/>
    <w:rsid w:val="00E469BD"/>
    <w:pPr>
      <w:spacing w:after="100"/>
      <w:ind w:left="440"/>
    </w:pPr>
  </w:style>
  <w:style w:type="character" w:styleId="Hyperlink">
    <w:name w:val="Hyperlink"/>
    <w:basedOn w:val="Fontdeparagrafimplicit"/>
    <w:uiPriority w:val="99"/>
    <w:unhideWhenUsed/>
    <w:rsid w:val="00E469BD"/>
    <w:rPr>
      <w:color w:val="0563C1" w:themeColor="hyperlink"/>
      <w:u w:val="single"/>
    </w:rPr>
  </w:style>
  <w:style w:type="paragraph" w:styleId="Antet">
    <w:name w:val="header"/>
    <w:basedOn w:val="Normal"/>
    <w:link w:val="AntetCaracter"/>
    <w:uiPriority w:val="99"/>
    <w:unhideWhenUsed/>
    <w:rsid w:val="00784853"/>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784853"/>
  </w:style>
  <w:style w:type="paragraph" w:styleId="Subsol">
    <w:name w:val="footer"/>
    <w:basedOn w:val="Normal"/>
    <w:link w:val="SubsolCaracter"/>
    <w:uiPriority w:val="99"/>
    <w:unhideWhenUsed/>
    <w:rsid w:val="00784853"/>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84853"/>
  </w:style>
  <w:style w:type="table" w:styleId="Tabelgril">
    <w:name w:val="Table Grid"/>
    <w:basedOn w:val="TabelNormal"/>
    <w:uiPriority w:val="39"/>
    <w:rsid w:val="00400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
    <w:name w:val="caption"/>
    <w:basedOn w:val="Normal"/>
    <w:next w:val="Normal"/>
    <w:unhideWhenUsed/>
    <w:qFormat/>
    <w:rsid w:val="004002E1"/>
    <w:pPr>
      <w:spacing w:after="200" w:line="240" w:lineRule="auto"/>
    </w:pPr>
    <w:rPr>
      <w:i/>
      <w:iCs/>
      <w:color w:val="44546A" w:themeColor="text2"/>
      <w:sz w:val="18"/>
      <w:szCs w:val="18"/>
    </w:rPr>
  </w:style>
  <w:style w:type="paragraph" w:styleId="Textnotdesubsol">
    <w:name w:val="footnote text"/>
    <w:basedOn w:val="Normal"/>
    <w:link w:val="TextnotdesubsolCaracter"/>
    <w:uiPriority w:val="99"/>
    <w:unhideWhenUsed/>
    <w:rsid w:val="004002E1"/>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rsid w:val="004002E1"/>
    <w:rPr>
      <w:sz w:val="20"/>
      <w:szCs w:val="20"/>
    </w:rPr>
  </w:style>
  <w:style w:type="character" w:styleId="Referinnotdesubsol">
    <w:name w:val="footnote reference"/>
    <w:aliases w:val="Footnote symbol,BVI fnr,16 Point,Superscript 6 Point,ftref,BVI fnr Char1 Char Char,Footnote Reference Number Char Char Char,Times 10 Point Char Char Char,Exposant 3 Point Char Char Char,Footnote symbol Char1 Char Char,SUPERS,o"/>
    <w:basedOn w:val="Fontdeparagrafimplicit"/>
    <w:unhideWhenUsed/>
    <w:qFormat/>
    <w:rsid w:val="004002E1"/>
    <w:rPr>
      <w:vertAlign w:val="superscript"/>
    </w:rPr>
  </w:style>
  <w:style w:type="character" w:customStyle="1" w:styleId="ListparagrafCaracter">
    <w:name w:val="Listă paragraf Caracter"/>
    <w:aliases w:val="Forth level Caracter,Normal bullet 2 Caracter,body 2 Caracter,List Paragraph11 Caracter,List Paragraph111 Caracter,List Paragraph compact Caracter,Paragraphe de liste 2 Caracter,Reference list Caracter,Bullet list Caracter"/>
    <w:link w:val="Listparagraf"/>
    <w:uiPriority w:val="34"/>
    <w:qFormat/>
    <w:locked/>
    <w:rsid w:val="00591CC2"/>
  </w:style>
  <w:style w:type="table" w:styleId="TabelgrilLuminos">
    <w:name w:val="Grid Table Light"/>
    <w:basedOn w:val="TabelNormal"/>
    <w:uiPriority w:val="40"/>
    <w:rsid w:val="009A76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Fontdeparagrafimplicit"/>
    <w:uiPriority w:val="99"/>
    <w:semiHidden/>
    <w:unhideWhenUsed/>
    <w:rsid w:val="00667D83"/>
    <w:rPr>
      <w:color w:val="605E5C"/>
      <w:shd w:val="clear" w:color="auto" w:fill="E1DFDD"/>
    </w:rPr>
  </w:style>
  <w:style w:type="paragraph" w:styleId="NormalWeb">
    <w:name w:val="Normal (Web)"/>
    <w:basedOn w:val="Normal"/>
    <w:uiPriority w:val="99"/>
    <w:unhideWhenUsed/>
    <w:rsid w:val="000A01A6"/>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Accentuat">
    <w:name w:val="Emphasis"/>
    <w:basedOn w:val="Fontdeparagrafimplicit"/>
    <w:uiPriority w:val="20"/>
    <w:qFormat/>
    <w:rsid w:val="00C404E9"/>
    <w:rPr>
      <w:i/>
      <w:iCs/>
    </w:rPr>
  </w:style>
  <w:style w:type="character" w:styleId="Robust">
    <w:name w:val="Strong"/>
    <w:basedOn w:val="Fontdeparagrafimplicit"/>
    <w:uiPriority w:val="22"/>
    <w:qFormat/>
    <w:rsid w:val="00C404E9"/>
    <w:rPr>
      <w:b/>
      <w:bCs/>
    </w:rPr>
  </w:style>
  <w:style w:type="paragraph" w:customStyle="1" w:styleId="cvgsua">
    <w:name w:val="cvgsua"/>
    <w:basedOn w:val="Normal"/>
    <w:rsid w:val="00B22D58"/>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oypena">
    <w:name w:val="oypena"/>
    <w:basedOn w:val="Fontdeparagrafimplicit"/>
    <w:rsid w:val="00B22D58"/>
  </w:style>
  <w:style w:type="character" w:styleId="Referincomentariu">
    <w:name w:val="annotation reference"/>
    <w:basedOn w:val="Fontdeparagrafimplicit"/>
    <w:uiPriority w:val="99"/>
    <w:semiHidden/>
    <w:unhideWhenUsed/>
    <w:rsid w:val="001012BD"/>
    <w:rPr>
      <w:sz w:val="16"/>
      <w:szCs w:val="16"/>
    </w:rPr>
  </w:style>
  <w:style w:type="paragraph" w:styleId="Textcomentariu">
    <w:name w:val="annotation text"/>
    <w:basedOn w:val="Normal"/>
    <w:link w:val="TextcomentariuCaracter"/>
    <w:uiPriority w:val="99"/>
    <w:semiHidden/>
    <w:unhideWhenUsed/>
    <w:rsid w:val="001012BD"/>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1012BD"/>
    <w:rPr>
      <w:sz w:val="20"/>
      <w:szCs w:val="20"/>
    </w:rPr>
  </w:style>
  <w:style w:type="paragraph" w:styleId="SubiectComentariu">
    <w:name w:val="annotation subject"/>
    <w:basedOn w:val="Textcomentariu"/>
    <w:next w:val="Textcomentariu"/>
    <w:link w:val="SubiectComentariuCaracter"/>
    <w:uiPriority w:val="99"/>
    <w:semiHidden/>
    <w:unhideWhenUsed/>
    <w:rsid w:val="001012BD"/>
    <w:rPr>
      <w:b/>
      <w:bCs/>
    </w:rPr>
  </w:style>
  <w:style w:type="character" w:customStyle="1" w:styleId="SubiectComentariuCaracter">
    <w:name w:val="Subiect Comentariu Caracter"/>
    <w:basedOn w:val="TextcomentariuCaracter"/>
    <w:link w:val="SubiectComentariu"/>
    <w:uiPriority w:val="99"/>
    <w:semiHidden/>
    <w:rsid w:val="001012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4868">
      <w:bodyDiv w:val="1"/>
      <w:marLeft w:val="0"/>
      <w:marRight w:val="0"/>
      <w:marTop w:val="0"/>
      <w:marBottom w:val="0"/>
      <w:divBdr>
        <w:top w:val="none" w:sz="0" w:space="0" w:color="auto"/>
        <w:left w:val="none" w:sz="0" w:space="0" w:color="auto"/>
        <w:bottom w:val="none" w:sz="0" w:space="0" w:color="auto"/>
        <w:right w:val="none" w:sz="0" w:space="0" w:color="auto"/>
      </w:divBdr>
    </w:div>
    <w:div w:id="46727357">
      <w:bodyDiv w:val="1"/>
      <w:marLeft w:val="0"/>
      <w:marRight w:val="0"/>
      <w:marTop w:val="0"/>
      <w:marBottom w:val="0"/>
      <w:divBdr>
        <w:top w:val="none" w:sz="0" w:space="0" w:color="auto"/>
        <w:left w:val="none" w:sz="0" w:space="0" w:color="auto"/>
        <w:bottom w:val="none" w:sz="0" w:space="0" w:color="auto"/>
        <w:right w:val="none" w:sz="0" w:space="0" w:color="auto"/>
      </w:divBdr>
    </w:div>
    <w:div w:id="47187943">
      <w:bodyDiv w:val="1"/>
      <w:marLeft w:val="0"/>
      <w:marRight w:val="0"/>
      <w:marTop w:val="0"/>
      <w:marBottom w:val="0"/>
      <w:divBdr>
        <w:top w:val="none" w:sz="0" w:space="0" w:color="auto"/>
        <w:left w:val="none" w:sz="0" w:space="0" w:color="auto"/>
        <w:bottom w:val="none" w:sz="0" w:space="0" w:color="auto"/>
        <w:right w:val="none" w:sz="0" w:space="0" w:color="auto"/>
      </w:divBdr>
      <w:divsChild>
        <w:div w:id="1278676362">
          <w:marLeft w:val="0"/>
          <w:marRight w:val="0"/>
          <w:marTop w:val="0"/>
          <w:marBottom w:val="0"/>
          <w:divBdr>
            <w:top w:val="none" w:sz="0" w:space="0" w:color="auto"/>
            <w:left w:val="none" w:sz="0" w:space="0" w:color="auto"/>
            <w:bottom w:val="none" w:sz="0" w:space="0" w:color="auto"/>
            <w:right w:val="none" w:sz="0" w:space="0" w:color="auto"/>
          </w:divBdr>
          <w:divsChild>
            <w:div w:id="211235235">
              <w:marLeft w:val="0"/>
              <w:marRight w:val="0"/>
              <w:marTop w:val="0"/>
              <w:marBottom w:val="0"/>
              <w:divBdr>
                <w:top w:val="none" w:sz="0" w:space="0" w:color="auto"/>
                <w:left w:val="none" w:sz="0" w:space="0" w:color="auto"/>
                <w:bottom w:val="none" w:sz="0" w:space="0" w:color="auto"/>
                <w:right w:val="none" w:sz="0" w:space="0" w:color="auto"/>
              </w:divBdr>
              <w:divsChild>
                <w:div w:id="848372792">
                  <w:marLeft w:val="0"/>
                  <w:marRight w:val="0"/>
                  <w:marTop w:val="0"/>
                  <w:marBottom w:val="0"/>
                  <w:divBdr>
                    <w:top w:val="none" w:sz="0" w:space="0" w:color="auto"/>
                    <w:left w:val="none" w:sz="0" w:space="0" w:color="auto"/>
                    <w:bottom w:val="none" w:sz="0" w:space="0" w:color="auto"/>
                    <w:right w:val="none" w:sz="0" w:space="0" w:color="auto"/>
                  </w:divBdr>
                  <w:divsChild>
                    <w:div w:id="998577231">
                      <w:marLeft w:val="0"/>
                      <w:marRight w:val="0"/>
                      <w:marTop w:val="0"/>
                      <w:marBottom w:val="0"/>
                      <w:divBdr>
                        <w:top w:val="none" w:sz="0" w:space="0" w:color="auto"/>
                        <w:left w:val="none" w:sz="0" w:space="0" w:color="auto"/>
                        <w:bottom w:val="none" w:sz="0" w:space="0" w:color="auto"/>
                        <w:right w:val="none" w:sz="0" w:space="0" w:color="auto"/>
                      </w:divBdr>
                      <w:divsChild>
                        <w:div w:id="1632130556">
                          <w:marLeft w:val="0"/>
                          <w:marRight w:val="0"/>
                          <w:marTop w:val="0"/>
                          <w:marBottom w:val="0"/>
                          <w:divBdr>
                            <w:top w:val="none" w:sz="0" w:space="0" w:color="auto"/>
                            <w:left w:val="none" w:sz="0" w:space="0" w:color="auto"/>
                            <w:bottom w:val="none" w:sz="0" w:space="0" w:color="auto"/>
                            <w:right w:val="none" w:sz="0" w:space="0" w:color="auto"/>
                          </w:divBdr>
                          <w:divsChild>
                            <w:div w:id="51582570">
                              <w:marLeft w:val="0"/>
                              <w:marRight w:val="0"/>
                              <w:marTop w:val="0"/>
                              <w:marBottom w:val="0"/>
                              <w:divBdr>
                                <w:top w:val="none" w:sz="0" w:space="0" w:color="auto"/>
                                <w:left w:val="none" w:sz="0" w:space="0" w:color="auto"/>
                                <w:bottom w:val="none" w:sz="0" w:space="0" w:color="auto"/>
                                <w:right w:val="none" w:sz="0" w:space="0" w:color="auto"/>
                              </w:divBdr>
                              <w:divsChild>
                                <w:div w:id="2064450533">
                                  <w:marLeft w:val="0"/>
                                  <w:marRight w:val="0"/>
                                  <w:marTop w:val="0"/>
                                  <w:marBottom w:val="0"/>
                                  <w:divBdr>
                                    <w:top w:val="none" w:sz="0" w:space="0" w:color="auto"/>
                                    <w:left w:val="none" w:sz="0" w:space="0" w:color="auto"/>
                                    <w:bottom w:val="none" w:sz="0" w:space="0" w:color="auto"/>
                                    <w:right w:val="none" w:sz="0" w:space="0" w:color="auto"/>
                                  </w:divBdr>
                                  <w:divsChild>
                                    <w:div w:id="115187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754614">
                      <w:marLeft w:val="0"/>
                      <w:marRight w:val="0"/>
                      <w:marTop w:val="0"/>
                      <w:marBottom w:val="0"/>
                      <w:divBdr>
                        <w:top w:val="none" w:sz="0" w:space="0" w:color="auto"/>
                        <w:left w:val="none" w:sz="0" w:space="0" w:color="auto"/>
                        <w:bottom w:val="none" w:sz="0" w:space="0" w:color="auto"/>
                        <w:right w:val="none" w:sz="0" w:space="0" w:color="auto"/>
                      </w:divBdr>
                      <w:divsChild>
                        <w:div w:id="8502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3752">
      <w:bodyDiv w:val="1"/>
      <w:marLeft w:val="0"/>
      <w:marRight w:val="0"/>
      <w:marTop w:val="0"/>
      <w:marBottom w:val="0"/>
      <w:divBdr>
        <w:top w:val="none" w:sz="0" w:space="0" w:color="auto"/>
        <w:left w:val="none" w:sz="0" w:space="0" w:color="auto"/>
        <w:bottom w:val="none" w:sz="0" w:space="0" w:color="auto"/>
        <w:right w:val="none" w:sz="0" w:space="0" w:color="auto"/>
      </w:divBdr>
    </w:div>
    <w:div w:id="67961850">
      <w:bodyDiv w:val="1"/>
      <w:marLeft w:val="0"/>
      <w:marRight w:val="0"/>
      <w:marTop w:val="0"/>
      <w:marBottom w:val="0"/>
      <w:divBdr>
        <w:top w:val="none" w:sz="0" w:space="0" w:color="auto"/>
        <w:left w:val="none" w:sz="0" w:space="0" w:color="auto"/>
        <w:bottom w:val="none" w:sz="0" w:space="0" w:color="auto"/>
        <w:right w:val="none" w:sz="0" w:space="0" w:color="auto"/>
      </w:divBdr>
    </w:div>
    <w:div w:id="86580539">
      <w:bodyDiv w:val="1"/>
      <w:marLeft w:val="0"/>
      <w:marRight w:val="0"/>
      <w:marTop w:val="0"/>
      <w:marBottom w:val="0"/>
      <w:divBdr>
        <w:top w:val="none" w:sz="0" w:space="0" w:color="auto"/>
        <w:left w:val="none" w:sz="0" w:space="0" w:color="auto"/>
        <w:bottom w:val="none" w:sz="0" w:space="0" w:color="auto"/>
        <w:right w:val="none" w:sz="0" w:space="0" w:color="auto"/>
      </w:divBdr>
    </w:div>
    <w:div w:id="97606393">
      <w:bodyDiv w:val="1"/>
      <w:marLeft w:val="0"/>
      <w:marRight w:val="0"/>
      <w:marTop w:val="0"/>
      <w:marBottom w:val="0"/>
      <w:divBdr>
        <w:top w:val="none" w:sz="0" w:space="0" w:color="auto"/>
        <w:left w:val="none" w:sz="0" w:space="0" w:color="auto"/>
        <w:bottom w:val="none" w:sz="0" w:space="0" w:color="auto"/>
        <w:right w:val="none" w:sz="0" w:space="0" w:color="auto"/>
      </w:divBdr>
    </w:div>
    <w:div w:id="108356339">
      <w:bodyDiv w:val="1"/>
      <w:marLeft w:val="0"/>
      <w:marRight w:val="0"/>
      <w:marTop w:val="0"/>
      <w:marBottom w:val="0"/>
      <w:divBdr>
        <w:top w:val="none" w:sz="0" w:space="0" w:color="auto"/>
        <w:left w:val="none" w:sz="0" w:space="0" w:color="auto"/>
        <w:bottom w:val="none" w:sz="0" w:space="0" w:color="auto"/>
        <w:right w:val="none" w:sz="0" w:space="0" w:color="auto"/>
      </w:divBdr>
    </w:div>
    <w:div w:id="136797825">
      <w:bodyDiv w:val="1"/>
      <w:marLeft w:val="0"/>
      <w:marRight w:val="0"/>
      <w:marTop w:val="0"/>
      <w:marBottom w:val="0"/>
      <w:divBdr>
        <w:top w:val="none" w:sz="0" w:space="0" w:color="auto"/>
        <w:left w:val="none" w:sz="0" w:space="0" w:color="auto"/>
        <w:bottom w:val="none" w:sz="0" w:space="0" w:color="auto"/>
        <w:right w:val="none" w:sz="0" w:space="0" w:color="auto"/>
      </w:divBdr>
    </w:div>
    <w:div w:id="142241592">
      <w:bodyDiv w:val="1"/>
      <w:marLeft w:val="0"/>
      <w:marRight w:val="0"/>
      <w:marTop w:val="0"/>
      <w:marBottom w:val="0"/>
      <w:divBdr>
        <w:top w:val="none" w:sz="0" w:space="0" w:color="auto"/>
        <w:left w:val="none" w:sz="0" w:space="0" w:color="auto"/>
        <w:bottom w:val="none" w:sz="0" w:space="0" w:color="auto"/>
        <w:right w:val="none" w:sz="0" w:space="0" w:color="auto"/>
      </w:divBdr>
    </w:div>
    <w:div w:id="142818115">
      <w:bodyDiv w:val="1"/>
      <w:marLeft w:val="0"/>
      <w:marRight w:val="0"/>
      <w:marTop w:val="0"/>
      <w:marBottom w:val="0"/>
      <w:divBdr>
        <w:top w:val="none" w:sz="0" w:space="0" w:color="auto"/>
        <w:left w:val="none" w:sz="0" w:space="0" w:color="auto"/>
        <w:bottom w:val="none" w:sz="0" w:space="0" w:color="auto"/>
        <w:right w:val="none" w:sz="0" w:space="0" w:color="auto"/>
      </w:divBdr>
    </w:div>
    <w:div w:id="154616120">
      <w:bodyDiv w:val="1"/>
      <w:marLeft w:val="0"/>
      <w:marRight w:val="0"/>
      <w:marTop w:val="0"/>
      <w:marBottom w:val="0"/>
      <w:divBdr>
        <w:top w:val="none" w:sz="0" w:space="0" w:color="auto"/>
        <w:left w:val="none" w:sz="0" w:space="0" w:color="auto"/>
        <w:bottom w:val="none" w:sz="0" w:space="0" w:color="auto"/>
        <w:right w:val="none" w:sz="0" w:space="0" w:color="auto"/>
      </w:divBdr>
    </w:div>
    <w:div w:id="155271692">
      <w:bodyDiv w:val="1"/>
      <w:marLeft w:val="0"/>
      <w:marRight w:val="0"/>
      <w:marTop w:val="0"/>
      <w:marBottom w:val="0"/>
      <w:divBdr>
        <w:top w:val="none" w:sz="0" w:space="0" w:color="auto"/>
        <w:left w:val="none" w:sz="0" w:space="0" w:color="auto"/>
        <w:bottom w:val="none" w:sz="0" w:space="0" w:color="auto"/>
        <w:right w:val="none" w:sz="0" w:space="0" w:color="auto"/>
      </w:divBdr>
    </w:div>
    <w:div w:id="159781993">
      <w:bodyDiv w:val="1"/>
      <w:marLeft w:val="0"/>
      <w:marRight w:val="0"/>
      <w:marTop w:val="0"/>
      <w:marBottom w:val="0"/>
      <w:divBdr>
        <w:top w:val="none" w:sz="0" w:space="0" w:color="auto"/>
        <w:left w:val="none" w:sz="0" w:space="0" w:color="auto"/>
        <w:bottom w:val="none" w:sz="0" w:space="0" w:color="auto"/>
        <w:right w:val="none" w:sz="0" w:space="0" w:color="auto"/>
      </w:divBdr>
    </w:div>
    <w:div w:id="160901619">
      <w:bodyDiv w:val="1"/>
      <w:marLeft w:val="0"/>
      <w:marRight w:val="0"/>
      <w:marTop w:val="0"/>
      <w:marBottom w:val="0"/>
      <w:divBdr>
        <w:top w:val="none" w:sz="0" w:space="0" w:color="auto"/>
        <w:left w:val="none" w:sz="0" w:space="0" w:color="auto"/>
        <w:bottom w:val="none" w:sz="0" w:space="0" w:color="auto"/>
        <w:right w:val="none" w:sz="0" w:space="0" w:color="auto"/>
      </w:divBdr>
    </w:div>
    <w:div w:id="163598004">
      <w:bodyDiv w:val="1"/>
      <w:marLeft w:val="0"/>
      <w:marRight w:val="0"/>
      <w:marTop w:val="0"/>
      <w:marBottom w:val="0"/>
      <w:divBdr>
        <w:top w:val="none" w:sz="0" w:space="0" w:color="auto"/>
        <w:left w:val="none" w:sz="0" w:space="0" w:color="auto"/>
        <w:bottom w:val="none" w:sz="0" w:space="0" w:color="auto"/>
        <w:right w:val="none" w:sz="0" w:space="0" w:color="auto"/>
      </w:divBdr>
    </w:div>
    <w:div w:id="168251466">
      <w:bodyDiv w:val="1"/>
      <w:marLeft w:val="0"/>
      <w:marRight w:val="0"/>
      <w:marTop w:val="0"/>
      <w:marBottom w:val="0"/>
      <w:divBdr>
        <w:top w:val="none" w:sz="0" w:space="0" w:color="auto"/>
        <w:left w:val="none" w:sz="0" w:space="0" w:color="auto"/>
        <w:bottom w:val="none" w:sz="0" w:space="0" w:color="auto"/>
        <w:right w:val="none" w:sz="0" w:space="0" w:color="auto"/>
      </w:divBdr>
    </w:div>
    <w:div w:id="182868892">
      <w:bodyDiv w:val="1"/>
      <w:marLeft w:val="0"/>
      <w:marRight w:val="0"/>
      <w:marTop w:val="0"/>
      <w:marBottom w:val="0"/>
      <w:divBdr>
        <w:top w:val="none" w:sz="0" w:space="0" w:color="auto"/>
        <w:left w:val="none" w:sz="0" w:space="0" w:color="auto"/>
        <w:bottom w:val="none" w:sz="0" w:space="0" w:color="auto"/>
        <w:right w:val="none" w:sz="0" w:space="0" w:color="auto"/>
      </w:divBdr>
    </w:div>
    <w:div w:id="192693173">
      <w:bodyDiv w:val="1"/>
      <w:marLeft w:val="0"/>
      <w:marRight w:val="0"/>
      <w:marTop w:val="0"/>
      <w:marBottom w:val="0"/>
      <w:divBdr>
        <w:top w:val="none" w:sz="0" w:space="0" w:color="auto"/>
        <w:left w:val="none" w:sz="0" w:space="0" w:color="auto"/>
        <w:bottom w:val="none" w:sz="0" w:space="0" w:color="auto"/>
        <w:right w:val="none" w:sz="0" w:space="0" w:color="auto"/>
      </w:divBdr>
    </w:div>
    <w:div w:id="199821444">
      <w:bodyDiv w:val="1"/>
      <w:marLeft w:val="0"/>
      <w:marRight w:val="0"/>
      <w:marTop w:val="0"/>
      <w:marBottom w:val="0"/>
      <w:divBdr>
        <w:top w:val="none" w:sz="0" w:space="0" w:color="auto"/>
        <w:left w:val="none" w:sz="0" w:space="0" w:color="auto"/>
        <w:bottom w:val="none" w:sz="0" w:space="0" w:color="auto"/>
        <w:right w:val="none" w:sz="0" w:space="0" w:color="auto"/>
      </w:divBdr>
    </w:div>
    <w:div w:id="228423287">
      <w:bodyDiv w:val="1"/>
      <w:marLeft w:val="0"/>
      <w:marRight w:val="0"/>
      <w:marTop w:val="0"/>
      <w:marBottom w:val="0"/>
      <w:divBdr>
        <w:top w:val="none" w:sz="0" w:space="0" w:color="auto"/>
        <w:left w:val="none" w:sz="0" w:space="0" w:color="auto"/>
        <w:bottom w:val="none" w:sz="0" w:space="0" w:color="auto"/>
        <w:right w:val="none" w:sz="0" w:space="0" w:color="auto"/>
      </w:divBdr>
    </w:div>
    <w:div w:id="260994020">
      <w:bodyDiv w:val="1"/>
      <w:marLeft w:val="0"/>
      <w:marRight w:val="0"/>
      <w:marTop w:val="0"/>
      <w:marBottom w:val="0"/>
      <w:divBdr>
        <w:top w:val="none" w:sz="0" w:space="0" w:color="auto"/>
        <w:left w:val="none" w:sz="0" w:space="0" w:color="auto"/>
        <w:bottom w:val="none" w:sz="0" w:space="0" w:color="auto"/>
        <w:right w:val="none" w:sz="0" w:space="0" w:color="auto"/>
      </w:divBdr>
      <w:divsChild>
        <w:div w:id="1335495244">
          <w:marLeft w:val="0"/>
          <w:marRight w:val="0"/>
          <w:marTop w:val="0"/>
          <w:marBottom w:val="0"/>
          <w:divBdr>
            <w:top w:val="none" w:sz="0" w:space="0" w:color="auto"/>
            <w:left w:val="none" w:sz="0" w:space="0" w:color="auto"/>
            <w:bottom w:val="none" w:sz="0" w:space="0" w:color="auto"/>
            <w:right w:val="none" w:sz="0" w:space="0" w:color="auto"/>
          </w:divBdr>
          <w:divsChild>
            <w:div w:id="1758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3840">
      <w:bodyDiv w:val="1"/>
      <w:marLeft w:val="0"/>
      <w:marRight w:val="0"/>
      <w:marTop w:val="0"/>
      <w:marBottom w:val="0"/>
      <w:divBdr>
        <w:top w:val="none" w:sz="0" w:space="0" w:color="auto"/>
        <w:left w:val="none" w:sz="0" w:space="0" w:color="auto"/>
        <w:bottom w:val="none" w:sz="0" w:space="0" w:color="auto"/>
        <w:right w:val="none" w:sz="0" w:space="0" w:color="auto"/>
      </w:divBdr>
      <w:divsChild>
        <w:div w:id="563948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5088186">
      <w:bodyDiv w:val="1"/>
      <w:marLeft w:val="0"/>
      <w:marRight w:val="0"/>
      <w:marTop w:val="0"/>
      <w:marBottom w:val="0"/>
      <w:divBdr>
        <w:top w:val="none" w:sz="0" w:space="0" w:color="auto"/>
        <w:left w:val="none" w:sz="0" w:space="0" w:color="auto"/>
        <w:bottom w:val="none" w:sz="0" w:space="0" w:color="auto"/>
        <w:right w:val="none" w:sz="0" w:space="0" w:color="auto"/>
      </w:divBdr>
    </w:div>
    <w:div w:id="291062255">
      <w:bodyDiv w:val="1"/>
      <w:marLeft w:val="0"/>
      <w:marRight w:val="0"/>
      <w:marTop w:val="0"/>
      <w:marBottom w:val="0"/>
      <w:divBdr>
        <w:top w:val="none" w:sz="0" w:space="0" w:color="auto"/>
        <w:left w:val="none" w:sz="0" w:space="0" w:color="auto"/>
        <w:bottom w:val="none" w:sz="0" w:space="0" w:color="auto"/>
        <w:right w:val="none" w:sz="0" w:space="0" w:color="auto"/>
      </w:divBdr>
    </w:div>
    <w:div w:id="303046424">
      <w:bodyDiv w:val="1"/>
      <w:marLeft w:val="0"/>
      <w:marRight w:val="0"/>
      <w:marTop w:val="0"/>
      <w:marBottom w:val="0"/>
      <w:divBdr>
        <w:top w:val="none" w:sz="0" w:space="0" w:color="auto"/>
        <w:left w:val="none" w:sz="0" w:space="0" w:color="auto"/>
        <w:bottom w:val="none" w:sz="0" w:space="0" w:color="auto"/>
        <w:right w:val="none" w:sz="0" w:space="0" w:color="auto"/>
      </w:divBdr>
    </w:div>
    <w:div w:id="316300367">
      <w:bodyDiv w:val="1"/>
      <w:marLeft w:val="0"/>
      <w:marRight w:val="0"/>
      <w:marTop w:val="0"/>
      <w:marBottom w:val="0"/>
      <w:divBdr>
        <w:top w:val="none" w:sz="0" w:space="0" w:color="auto"/>
        <w:left w:val="none" w:sz="0" w:space="0" w:color="auto"/>
        <w:bottom w:val="none" w:sz="0" w:space="0" w:color="auto"/>
        <w:right w:val="none" w:sz="0" w:space="0" w:color="auto"/>
      </w:divBdr>
    </w:div>
    <w:div w:id="331834573">
      <w:bodyDiv w:val="1"/>
      <w:marLeft w:val="0"/>
      <w:marRight w:val="0"/>
      <w:marTop w:val="0"/>
      <w:marBottom w:val="0"/>
      <w:divBdr>
        <w:top w:val="none" w:sz="0" w:space="0" w:color="auto"/>
        <w:left w:val="none" w:sz="0" w:space="0" w:color="auto"/>
        <w:bottom w:val="none" w:sz="0" w:space="0" w:color="auto"/>
        <w:right w:val="none" w:sz="0" w:space="0" w:color="auto"/>
      </w:divBdr>
    </w:div>
    <w:div w:id="348265888">
      <w:bodyDiv w:val="1"/>
      <w:marLeft w:val="0"/>
      <w:marRight w:val="0"/>
      <w:marTop w:val="0"/>
      <w:marBottom w:val="0"/>
      <w:divBdr>
        <w:top w:val="none" w:sz="0" w:space="0" w:color="auto"/>
        <w:left w:val="none" w:sz="0" w:space="0" w:color="auto"/>
        <w:bottom w:val="none" w:sz="0" w:space="0" w:color="auto"/>
        <w:right w:val="none" w:sz="0" w:space="0" w:color="auto"/>
      </w:divBdr>
    </w:div>
    <w:div w:id="349726777">
      <w:bodyDiv w:val="1"/>
      <w:marLeft w:val="0"/>
      <w:marRight w:val="0"/>
      <w:marTop w:val="0"/>
      <w:marBottom w:val="0"/>
      <w:divBdr>
        <w:top w:val="none" w:sz="0" w:space="0" w:color="auto"/>
        <w:left w:val="none" w:sz="0" w:space="0" w:color="auto"/>
        <w:bottom w:val="none" w:sz="0" w:space="0" w:color="auto"/>
        <w:right w:val="none" w:sz="0" w:space="0" w:color="auto"/>
      </w:divBdr>
    </w:div>
    <w:div w:id="352612530">
      <w:bodyDiv w:val="1"/>
      <w:marLeft w:val="0"/>
      <w:marRight w:val="0"/>
      <w:marTop w:val="0"/>
      <w:marBottom w:val="0"/>
      <w:divBdr>
        <w:top w:val="none" w:sz="0" w:space="0" w:color="auto"/>
        <w:left w:val="none" w:sz="0" w:space="0" w:color="auto"/>
        <w:bottom w:val="none" w:sz="0" w:space="0" w:color="auto"/>
        <w:right w:val="none" w:sz="0" w:space="0" w:color="auto"/>
      </w:divBdr>
    </w:div>
    <w:div w:id="358430276">
      <w:bodyDiv w:val="1"/>
      <w:marLeft w:val="0"/>
      <w:marRight w:val="0"/>
      <w:marTop w:val="0"/>
      <w:marBottom w:val="0"/>
      <w:divBdr>
        <w:top w:val="none" w:sz="0" w:space="0" w:color="auto"/>
        <w:left w:val="none" w:sz="0" w:space="0" w:color="auto"/>
        <w:bottom w:val="none" w:sz="0" w:space="0" w:color="auto"/>
        <w:right w:val="none" w:sz="0" w:space="0" w:color="auto"/>
      </w:divBdr>
    </w:div>
    <w:div w:id="362949230">
      <w:bodyDiv w:val="1"/>
      <w:marLeft w:val="0"/>
      <w:marRight w:val="0"/>
      <w:marTop w:val="0"/>
      <w:marBottom w:val="0"/>
      <w:divBdr>
        <w:top w:val="none" w:sz="0" w:space="0" w:color="auto"/>
        <w:left w:val="none" w:sz="0" w:space="0" w:color="auto"/>
        <w:bottom w:val="none" w:sz="0" w:space="0" w:color="auto"/>
        <w:right w:val="none" w:sz="0" w:space="0" w:color="auto"/>
      </w:divBdr>
    </w:div>
    <w:div w:id="375545889">
      <w:bodyDiv w:val="1"/>
      <w:marLeft w:val="0"/>
      <w:marRight w:val="0"/>
      <w:marTop w:val="0"/>
      <w:marBottom w:val="0"/>
      <w:divBdr>
        <w:top w:val="none" w:sz="0" w:space="0" w:color="auto"/>
        <w:left w:val="none" w:sz="0" w:space="0" w:color="auto"/>
        <w:bottom w:val="none" w:sz="0" w:space="0" w:color="auto"/>
        <w:right w:val="none" w:sz="0" w:space="0" w:color="auto"/>
      </w:divBdr>
      <w:divsChild>
        <w:div w:id="281959848">
          <w:marLeft w:val="0"/>
          <w:marRight w:val="0"/>
          <w:marTop w:val="0"/>
          <w:marBottom w:val="0"/>
          <w:divBdr>
            <w:top w:val="none" w:sz="0" w:space="0" w:color="auto"/>
            <w:left w:val="none" w:sz="0" w:space="0" w:color="auto"/>
            <w:bottom w:val="none" w:sz="0" w:space="0" w:color="auto"/>
            <w:right w:val="none" w:sz="0" w:space="0" w:color="auto"/>
          </w:divBdr>
          <w:divsChild>
            <w:div w:id="14695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6184">
      <w:bodyDiv w:val="1"/>
      <w:marLeft w:val="0"/>
      <w:marRight w:val="0"/>
      <w:marTop w:val="0"/>
      <w:marBottom w:val="0"/>
      <w:divBdr>
        <w:top w:val="none" w:sz="0" w:space="0" w:color="auto"/>
        <w:left w:val="none" w:sz="0" w:space="0" w:color="auto"/>
        <w:bottom w:val="none" w:sz="0" w:space="0" w:color="auto"/>
        <w:right w:val="none" w:sz="0" w:space="0" w:color="auto"/>
      </w:divBdr>
    </w:div>
    <w:div w:id="414860824">
      <w:bodyDiv w:val="1"/>
      <w:marLeft w:val="0"/>
      <w:marRight w:val="0"/>
      <w:marTop w:val="0"/>
      <w:marBottom w:val="0"/>
      <w:divBdr>
        <w:top w:val="none" w:sz="0" w:space="0" w:color="auto"/>
        <w:left w:val="none" w:sz="0" w:space="0" w:color="auto"/>
        <w:bottom w:val="none" w:sz="0" w:space="0" w:color="auto"/>
        <w:right w:val="none" w:sz="0" w:space="0" w:color="auto"/>
      </w:divBdr>
    </w:div>
    <w:div w:id="420105960">
      <w:bodyDiv w:val="1"/>
      <w:marLeft w:val="0"/>
      <w:marRight w:val="0"/>
      <w:marTop w:val="0"/>
      <w:marBottom w:val="0"/>
      <w:divBdr>
        <w:top w:val="none" w:sz="0" w:space="0" w:color="auto"/>
        <w:left w:val="none" w:sz="0" w:space="0" w:color="auto"/>
        <w:bottom w:val="none" w:sz="0" w:space="0" w:color="auto"/>
        <w:right w:val="none" w:sz="0" w:space="0" w:color="auto"/>
      </w:divBdr>
    </w:div>
    <w:div w:id="421343561">
      <w:bodyDiv w:val="1"/>
      <w:marLeft w:val="0"/>
      <w:marRight w:val="0"/>
      <w:marTop w:val="0"/>
      <w:marBottom w:val="0"/>
      <w:divBdr>
        <w:top w:val="none" w:sz="0" w:space="0" w:color="auto"/>
        <w:left w:val="none" w:sz="0" w:space="0" w:color="auto"/>
        <w:bottom w:val="none" w:sz="0" w:space="0" w:color="auto"/>
        <w:right w:val="none" w:sz="0" w:space="0" w:color="auto"/>
      </w:divBdr>
    </w:div>
    <w:div w:id="459156214">
      <w:bodyDiv w:val="1"/>
      <w:marLeft w:val="0"/>
      <w:marRight w:val="0"/>
      <w:marTop w:val="0"/>
      <w:marBottom w:val="0"/>
      <w:divBdr>
        <w:top w:val="none" w:sz="0" w:space="0" w:color="auto"/>
        <w:left w:val="none" w:sz="0" w:space="0" w:color="auto"/>
        <w:bottom w:val="none" w:sz="0" w:space="0" w:color="auto"/>
        <w:right w:val="none" w:sz="0" w:space="0" w:color="auto"/>
      </w:divBdr>
    </w:div>
    <w:div w:id="464196781">
      <w:bodyDiv w:val="1"/>
      <w:marLeft w:val="0"/>
      <w:marRight w:val="0"/>
      <w:marTop w:val="0"/>
      <w:marBottom w:val="0"/>
      <w:divBdr>
        <w:top w:val="none" w:sz="0" w:space="0" w:color="auto"/>
        <w:left w:val="none" w:sz="0" w:space="0" w:color="auto"/>
        <w:bottom w:val="none" w:sz="0" w:space="0" w:color="auto"/>
        <w:right w:val="none" w:sz="0" w:space="0" w:color="auto"/>
      </w:divBdr>
    </w:div>
    <w:div w:id="468591571">
      <w:bodyDiv w:val="1"/>
      <w:marLeft w:val="0"/>
      <w:marRight w:val="0"/>
      <w:marTop w:val="0"/>
      <w:marBottom w:val="0"/>
      <w:divBdr>
        <w:top w:val="none" w:sz="0" w:space="0" w:color="auto"/>
        <w:left w:val="none" w:sz="0" w:space="0" w:color="auto"/>
        <w:bottom w:val="none" w:sz="0" w:space="0" w:color="auto"/>
        <w:right w:val="none" w:sz="0" w:space="0" w:color="auto"/>
      </w:divBdr>
    </w:div>
    <w:div w:id="475225136">
      <w:bodyDiv w:val="1"/>
      <w:marLeft w:val="0"/>
      <w:marRight w:val="0"/>
      <w:marTop w:val="0"/>
      <w:marBottom w:val="0"/>
      <w:divBdr>
        <w:top w:val="none" w:sz="0" w:space="0" w:color="auto"/>
        <w:left w:val="none" w:sz="0" w:space="0" w:color="auto"/>
        <w:bottom w:val="none" w:sz="0" w:space="0" w:color="auto"/>
        <w:right w:val="none" w:sz="0" w:space="0" w:color="auto"/>
      </w:divBdr>
    </w:div>
    <w:div w:id="477697186">
      <w:bodyDiv w:val="1"/>
      <w:marLeft w:val="0"/>
      <w:marRight w:val="0"/>
      <w:marTop w:val="0"/>
      <w:marBottom w:val="0"/>
      <w:divBdr>
        <w:top w:val="none" w:sz="0" w:space="0" w:color="auto"/>
        <w:left w:val="none" w:sz="0" w:space="0" w:color="auto"/>
        <w:bottom w:val="none" w:sz="0" w:space="0" w:color="auto"/>
        <w:right w:val="none" w:sz="0" w:space="0" w:color="auto"/>
      </w:divBdr>
    </w:div>
    <w:div w:id="481851692">
      <w:bodyDiv w:val="1"/>
      <w:marLeft w:val="0"/>
      <w:marRight w:val="0"/>
      <w:marTop w:val="0"/>
      <w:marBottom w:val="0"/>
      <w:divBdr>
        <w:top w:val="none" w:sz="0" w:space="0" w:color="auto"/>
        <w:left w:val="none" w:sz="0" w:space="0" w:color="auto"/>
        <w:bottom w:val="none" w:sz="0" w:space="0" w:color="auto"/>
        <w:right w:val="none" w:sz="0" w:space="0" w:color="auto"/>
      </w:divBdr>
    </w:div>
    <w:div w:id="491065695">
      <w:bodyDiv w:val="1"/>
      <w:marLeft w:val="0"/>
      <w:marRight w:val="0"/>
      <w:marTop w:val="0"/>
      <w:marBottom w:val="0"/>
      <w:divBdr>
        <w:top w:val="none" w:sz="0" w:space="0" w:color="auto"/>
        <w:left w:val="none" w:sz="0" w:space="0" w:color="auto"/>
        <w:bottom w:val="none" w:sz="0" w:space="0" w:color="auto"/>
        <w:right w:val="none" w:sz="0" w:space="0" w:color="auto"/>
      </w:divBdr>
    </w:div>
    <w:div w:id="528222802">
      <w:bodyDiv w:val="1"/>
      <w:marLeft w:val="0"/>
      <w:marRight w:val="0"/>
      <w:marTop w:val="0"/>
      <w:marBottom w:val="0"/>
      <w:divBdr>
        <w:top w:val="none" w:sz="0" w:space="0" w:color="auto"/>
        <w:left w:val="none" w:sz="0" w:space="0" w:color="auto"/>
        <w:bottom w:val="none" w:sz="0" w:space="0" w:color="auto"/>
        <w:right w:val="none" w:sz="0" w:space="0" w:color="auto"/>
      </w:divBdr>
    </w:div>
    <w:div w:id="540479374">
      <w:bodyDiv w:val="1"/>
      <w:marLeft w:val="0"/>
      <w:marRight w:val="0"/>
      <w:marTop w:val="0"/>
      <w:marBottom w:val="0"/>
      <w:divBdr>
        <w:top w:val="none" w:sz="0" w:space="0" w:color="auto"/>
        <w:left w:val="none" w:sz="0" w:space="0" w:color="auto"/>
        <w:bottom w:val="none" w:sz="0" w:space="0" w:color="auto"/>
        <w:right w:val="none" w:sz="0" w:space="0" w:color="auto"/>
      </w:divBdr>
    </w:div>
    <w:div w:id="548568542">
      <w:bodyDiv w:val="1"/>
      <w:marLeft w:val="0"/>
      <w:marRight w:val="0"/>
      <w:marTop w:val="0"/>
      <w:marBottom w:val="0"/>
      <w:divBdr>
        <w:top w:val="none" w:sz="0" w:space="0" w:color="auto"/>
        <w:left w:val="none" w:sz="0" w:space="0" w:color="auto"/>
        <w:bottom w:val="none" w:sz="0" w:space="0" w:color="auto"/>
        <w:right w:val="none" w:sz="0" w:space="0" w:color="auto"/>
      </w:divBdr>
    </w:div>
    <w:div w:id="551581038">
      <w:bodyDiv w:val="1"/>
      <w:marLeft w:val="0"/>
      <w:marRight w:val="0"/>
      <w:marTop w:val="0"/>
      <w:marBottom w:val="0"/>
      <w:divBdr>
        <w:top w:val="none" w:sz="0" w:space="0" w:color="auto"/>
        <w:left w:val="none" w:sz="0" w:space="0" w:color="auto"/>
        <w:bottom w:val="none" w:sz="0" w:space="0" w:color="auto"/>
        <w:right w:val="none" w:sz="0" w:space="0" w:color="auto"/>
      </w:divBdr>
    </w:div>
    <w:div w:id="569199004">
      <w:bodyDiv w:val="1"/>
      <w:marLeft w:val="0"/>
      <w:marRight w:val="0"/>
      <w:marTop w:val="0"/>
      <w:marBottom w:val="0"/>
      <w:divBdr>
        <w:top w:val="none" w:sz="0" w:space="0" w:color="auto"/>
        <w:left w:val="none" w:sz="0" w:space="0" w:color="auto"/>
        <w:bottom w:val="none" w:sz="0" w:space="0" w:color="auto"/>
        <w:right w:val="none" w:sz="0" w:space="0" w:color="auto"/>
      </w:divBdr>
    </w:div>
    <w:div w:id="576718541">
      <w:bodyDiv w:val="1"/>
      <w:marLeft w:val="0"/>
      <w:marRight w:val="0"/>
      <w:marTop w:val="0"/>
      <w:marBottom w:val="0"/>
      <w:divBdr>
        <w:top w:val="none" w:sz="0" w:space="0" w:color="auto"/>
        <w:left w:val="none" w:sz="0" w:space="0" w:color="auto"/>
        <w:bottom w:val="none" w:sz="0" w:space="0" w:color="auto"/>
        <w:right w:val="none" w:sz="0" w:space="0" w:color="auto"/>
      </w:divBdr>
      <w:divsChild>
        <w:div w:id="1748922337">
          <w:marLeft w:val="0"/>
          <w:marRight w:val="0"/>
          <w:marTop w:val="0"/>
          <w:marBottom w:val="0"/>
          <w:divBdr>
            <w:top w:val="none" w:sz="0" w:space="0" w:color="auto"/>
            <w:left w:val="none" w:sz="0" w:space="0" w:color="auto"/>
            <w:bottom w:val="none" w:sz="0" w:space="0" w:color="auto"/>
            <w:right w:val="none" w:sz="0" w:space="0" w:color="auto"/>
          </w:divBdr>
          <w:divsChild>
            <w:div w:id="153449449">
              <w:marLeft w:val="0"/>
              <w:marRight w:val="0"/>
              <w:marTop w:val="0"/>
              <w:marBottom w:val="0"/>
              <w:divBdr>
                <w:top w:val="none" w:sz="0" w:space="0" w:color="auto"/>
                <w:left w:val="none" w:sz="0" w:space="0" w:color="auto"/>
                <w:bottom w:val="none" w:sz="0" w:space="0" w:color="auto"/>
                <w:right w:val="none" w:sz="0" w:space="0" w:color="auto"/>
              </w:divBdr>
              <w:divsChild>
                <w:div w:id="142621393">
                  <w:marLeft w:val="0"/>
                  <w:marRight w:val="0"/>
                  <w:marTop w:val="0"/>
                  <w:marBottom w:val="0"/>
                  <w:divBdr>
                    <w:top w:val="none" w:sz="0" w:space="0" w:color="auto"/>
                    <w:left w:val="none" w:sz="0" w:space="0" w:color="auto"/>
                    <w:bottom w:val="none" w:sz="0" w:space="0" w:color="auto"/>
                    <w:right w:val="none" w:sz="0" w:space="0" w:color="auto"/>
                  </w:divBdr>
                  <w:divsChild>
                    <w:div w:id="979651486">
                      <w:marLeft w:val="0"/>
                      <w:marRight w:val="0"/>
                      <w:marTop w:val="0"/>
                      <w:marBottom w:val="0"/>
                      <w:divBdr>
                        <w:top w:val="none" w:sz="0" w:space="0" w:color="auto"/>
                        <w:left w:val="none" w:sz="0" w:space="0" w:color="auto"/>
                        <w:bottom w:val="none" w:sz="0" w:space="0" w:color="auto"/>
                        <w:right w:val="none" w:sz="0" w:space="0" w:color="auto"/>
                      </w:divBdr>
                      <w:divsChild>
                        <w:div w:id="1114985025">
                          <w:marLeft w:val="0"/>
                          <w:marRight w:val="0"/>
                          <w:marTop w:val="0"/>
                          <w:marBottom w:val="0"/>
                          <w:divBdr>
                            <w:top w:val="none" w:sz="0" w:space="0" w:color="auto"/>
                            <w:left w:val="none" w:sz="0" w:space="0" w:color="auto"/>
                            <w:bottom w:val="none" w:sz="0" w:space="0" w:color="auto"/>
                            <w:right w:val="none" w:sz="0" w:space="0" w:color="auto"/>
                          </w:divBdr>
                          <w:divsChild>
                            <w:div w:id="911737754">
                              <w:marLeft w:val="0"/>
                              <w:marRight w:val="0"/>
                              <w:marTop w:val="0"/>
                              <w:marBottom w:val="0"/>
                              <w:divBdr>
                                <w:top w:val="none" w:sz="0" w:space="0" w:color="auto"/>
                                <w:left w:val="none" w:sz="0" w:space="0" w:color="auto"/>
                                <w:bottom w:val="none" w:sz="0" w:space="0" w:color="auto"/>
                                <w:right w:val="none" w:sz="0" w:space="0" w:color="auto"/>
                              </w:divBdr>
                              <w:divsChild>
                                <w:div w:id="1424689921">
                                  <w:marLeft w:val="0"/>
                                  <w:marRight w:val="0"/>
                                  <w:marTop w:val="0"/>
                                  <w:marBottom w:val="0"/>
                                  <w:divBdr>
                                    <w:top w:val="none" w:sz="0" w:space="0" w:color="auto"/>
                                    <w:left w:val="none" w:sz="0" w:space="0" w:color="auto"/>
                                    <w:bottom w:val="none" w:sz="0" w:space="0" w:color="auto"/>
                                    <w:right w:val="none" w:sz="0" w:space="0" w:color="auto"/>
                                  </w:divBdr>
                                  <w:divsChild>
                                    <w:div w:id="3095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59518">
                      <w:marLeft w:val="0"/>
                      <w:marRight w:val="0"/>
                      <w:marTop w:val="0"/>
                      <w:marBottom w:val="0"/>
                      <w:divBdr>
                        <w:top w:val="none" w:sz="0" w:space="0" w:color="auto"/>
                        <w:left w:val="none" w:sz="0" w:space="0" w:color="auto"/>
                        <w:bottom w:val="none" w:sz="0" w:space="0" w:color="auto"/>
                        <w:right w:val="none" w:sz="0" w:space="0" w:color="auto"/>
                      </w:divBdr>
                      <w:divsChild>
                        <w:div w:id="21127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556758">
      <w:bodyDiv w:val="1"/>
      <w:marLeft w:val="0"/>
      <w:marRight w:val="0"/>
      <w:marTop w:val="0"/>
      <w:marBottom w:val="0"/>
      <w:divBdr>
        <w:top w:val="none" w:sz="0" w:space="0" w:color="auto"/>
        <w:left w:val="none" w:sz="0" w:space="0" w:color="auto"/>
        <w:bottom w:val="none" w:sz="0" w:space="0" w:color="auto"/>
        <w:right w:val="none" w:sz="0" w:space="0" w:color="auto"/>
      </w:divBdr>
    </w:div>
    <w:div w:id="617567028">
      <w:bodyDiv w:val="1"/>
      <w:marLeft w:val="0"/>
      <w:marRight w:val="0"/>
      <w:marTop w:val="0"/>
      <w:marBottom w:val="0"/>
      <w:divBdr>
        <w:top w:val="none" w:sz="0" w:space="0" w:color="auto"/>
        <w:left w:val="none" w:sz="0" w:space="0" w:color="auto"/>
        <w:bottom w:val="none" w:sz="0" w:space="0" w:color="auto"/>
        <w:right w:val="none" w:sz="0" w:space="0" w:color="auto"/>
      </w:divBdr>
    </w:div>
    <w:div w:id="628364090">
      <w:bodyDiv w:val="1"/>
      <w:marLeft w:val="0"/>
      <w:marRight w:val="0"/>
      <w:marTop w:val="0"/>
      <w:marBottom w:val="0"/>
      <w:divBdr>
        <w:top w:val="none" w:sz="0" w:space="0" w:color="auto"/>
        <w:left w:val="none" w:sz="0" w:space="0" w:color="auto"/>
        <w:bottom w:val="none" w:sz="0" w:space="0" w:color="auto"/>
        <w:right w:val="none" w:sz="0" w:space="0" w:color="auto"/>
      </w:divBdr>
    </w:div>
    <w:div w:id="632061107">
      <w:bodyDiv w:val="1"/>
      <w:marLeft w:val="0"/>
      <w:marRight w:val="0"/>
      <w:marTop w:val="0"/>
      <w:marBottom w:val="0"/>
      <w:divBdr>
        <w:top w:val="none" w:sz="0" w:space="0" w:color="auto"/>
        <w:left w:val="none" w:sz="0" w:space="0" w:color="auto"/>
        <w:bottom w:val="none" w:sz="0" w:space="0" w:color="auto"/>
        <w:right w:val="none" w:sz="0" w:space="0" w:color="auto"/>
      </w:divBdr>
    </w:div>
    <w:div w:id="637539128">
      <w:bodyDiv w:val="1"/>
      <w:marLeft w:val="0"/>
      <w:marRight w:val="0"/>
      <w:marTop w:val="0"/>
      <w:marBottom w:val="0"/>
      <w:divBdr>
        <w:top w:val="none" w:sz="0" w:space="0" w:color="auto"/>
        <w:left w:val="none" w:sz="0" w:space="0" w:color="auto"/>
        <w:bottom w:val="none" w:sz="0" w:space="0" w:color="auto"/>
        <w:right w:val="none" w:sz="0" w:space="0" w:color="auto"/>
      </w:divBdr>
    </w:div>
    <w:div w:id="639071961">
      <w:bodyDiv w:val="1"/>
      <w:marLeft w:val="0"/>
      <w:marRight w:val="0"/>
      <w:marTop w:val="0"/>
      <w:marBottom w:val="0"/>
      <w:divBdr>
        <w:top w:val="none" w:sz="0" w:space="0" w:color="auto"/>
        <w:left w:val="none" w:sz="0" w:space="0" w:color="auto"/>
        <w:bottom w:val="none" w:sz="0" w:space="0" w:color="auto"/>
        <w:right w:val="none" w:sz="0" w:space="0" w:color="auto"/>
      </w:divBdr>
    </w:div>
    <w:div w:id="640578577">
      <w:bodyDiv w:val="1"/>
      <w:marLeft w:val="0"/>
      <w:marRight w:val="0"/>
      <w:marTop w:val="0"/>
      <w:marBottom w:val="0"/>
      <w:divBdr>
        <w:top w:val="none" w:sz="0" w:space="0" w:color="auto"/>
        <w:left w:val="none" w:sz="0" w:space="0" w:color="auto"/>
        <w:bottom w:val="none" w:sz="0" w:space="0" w:color="auto"/>
        <w:right w:val="none" w:sz="0" w:space="0" w:color="auto"/>
      </w:divBdr>
    </w:div>
    <w:div w:id="650450211">
      <w:bodyDiv w:val="1"/>
      <w:marLeft w:val="0"/>
      <w:marRight w:val="0"/>
      <w:marTop w:val="0"/>
      <w:marBottom w:val="0"/>
      <w:divBdr>
        <w:top w:val="none" w:sz="0" w:space="0" w:color="auto"/>
        <w:left w:val="none" w:sz="0" w:space="0" w:color="auto"/>
        <w:bottom w:val="none" w:sz="0" w:space="0" w:color="auto"/>
        <w:right w:val="none" w:sz="0" w:space="0" w:color="auto"/>
      </w:divBdr>
    </w:div>
    <w:div w:id="654334119">
      <w:bodyDiv w:val="1"/>
      <w:marLeft w:val="0"/>
      <w:marRight w:val="0"/>
      <w:marTop w:val="0"/>
      <w:marBottom w:val="0"/>
      <w:divBdr>
        <w:top w:val="none" w:sz="0" w:space="0" w:color="auto"/>
        <w:left w:val="none" w:sz="0" w:space="0" w:color="auto"/>
        <w:bottom w:val="none" w:sz="0" w:space="0" w:color="auto"/>
        <w:right w:val="none" w:sz="0" w:space="0" w:color="auto"/>
      </w:divBdr>
    </w:div>
    <w:div w:id="673344965">
      <w:bodyDiv w:val="1"/>
      <w:marLeft w:val="0"/>
      <w:marRight w:val="0"/>
      <w:marTop w:val="0"/>
      <w:marBottom w:val="0"/>
      <w:divBdr>
        <w:top w:val="none" w:sz="0" w:space="0" w:color="auto"/>
        <w:left w:val="none" w:sz="0" w:space="0" w:color="auto"/>
        <w:bottom w:val="none" w:sz="0" w:space="0" w:color="auto"/>
        <w:right w:val="none" w:sz="0" w:space="0" w:color="auto"/>
      </w:divBdr>
    </w:div>
    <w:div w:id="707415091">
      <w:bodyDiv w:val="1"/>
      <w:marLeft w:val="0"/>
      <w:marRight w:val="0"/>
      <w:marTop w:val="0"/>
      <w:marBottom w:val="0"/>
      <w:divBdr>
        <w:top w:val="none" w:sz="0" w:space="0" w:color="auto"/>
        <w:left w:val="none" w:sz="0" w:space="0" w:color="auto"/>
        <w:bottom w:val="none" w:sz="0" w:space="0" w:color="auto"/>
        <w:right w:val="none" w:sz="0" w:space="0" w:color="auto"/>
      </w:divBdr>
    </w:div>
    <w:div w:id="709232875">
      <w:bodyDiv w:val="1"/>
      <w:marLeft w:val="0"/>
      <w:marRight w:val="0"/>
      <w:marTop w:val="0"/>
      <w:marBottom w:val="0"/>
      <w:divBdr>
        <w:top w:val="none" w:sz="0" w:space="0" w:color="auto"/>
        <w:left w:val="none" w:sz="0" w:space="0" w:color="auto"/>
        <w:bottom w:val="none" w:sz="0" w:space="0" w:color="auto"/>
        <w:right w:val="none" w:sz="0" w:space="0" w:color="auto"/>
      </w:divBdr>
    </w:div>
    <w:div w:id="747922497">
      <w:bodyDiv w:val="1"/>
      <w:marLeft w:val="0"/>
      <w:marRight w:val="0"/>
      <w:marTop w:val="0"/>
      <w:marBottom w:val="0"/>
      <w:divBdr>
        <w:top w:val="none" w:sz="0" w:space="0" w:color="auto"/>
        <w:left w:val="none" w:sz="0" w:space="0" w:color="auto"/>
        <w:bottom w:val="none" w:sz="0" w:space="0" w:color="auto"/>
        <w:right w:val="none" w:sz="0" w:space="0" w:color="auto"/>
      </w:divBdr>
    </w:div>
    <w:div w:id="767652136">
      <w:bodyDiv w:val="1"/>
      <w:marLeft w:val="0"/>
      <w:marRight w:val="0"/>
      <w:marTop w:val="0"/>
      <w:marBottom w:val="0"/>
      <w:divBdr>
        <w:top w:val="none" w:sz="0" w:space="0" w:color="auto"/>
        <w:left w:val="none" w:sz="0" w:space="0" w:color="auto"/>
        <w:bottom w:val="none" w:sz="0" w:space="0" w:color="auto"/>
        <w:right w:val="none" w:sz="0" w:space="0" w:color="auto"/>
      </w:divBdr>
      <w:divsChild>
        <w:div w:id="2026442514">
          <w:marLeft w:val="0"/>
          <w:marRight w:val="0"/>
          <w:marTop w:val="0"/>
          <w:marBottom w:val="0"/>
          <w:divBdr>
            <w:top w:val="none" w:sz="0" w:space="0" w:color="auto"/>
            <w:left w:val="none" w:sz="0" w:space="0" w:color="auto"/>
            <w:bottom w:val="none" w:sz="0" w:space="0" w:color="auto"/>
            <w:right w:val="none" w:sz="0" w:space="0" w:color="auto"/>
          </w:divBdr>
          <w:divsChild>
            <w:div w:id="1178469843">
              <w:marLeft w:val="0"/>
              <w:marRight w:val="0"/>
              <w:marTop w:val="0"/>
              <w:marBottom w:val="0"/>
              <w:divBdr>
                <w:top w:val="none" w:sz="0" w:space="0" w:color="auto"/>
                <w:left w:val="none" w:sz="0" w:space="0" w:color="auto"/>
                <w:bottom w:val="none" w:sz="0" w:space="0" w:color="auto"/>
                <w:right w:val="none" w:sz="0" w:space="0" w:color="auto"/>
              </w:divBdr>
              <w:divsChild>
                <w:div w:id="1375157708">
                  <w:marLeft w:val="0"/>
                  <w:marRight w:val="0"/>
                  <w:marTop w:val="0"/>
                  <w:marBottom w:val="0"/>
                  <w:divBdr>
                    <w:top w:val="none" w:sz="0" w:space="0" w:color="auto"/>
                    <w:left w:val="none" w:sz="0" w:space="0" w:color="auto"/>
                    <w:bottom w:val="none" w:sz="0" w:space="0" w:color="auto"/>
                    <w:right w:val="none" w:sz="0" w:space="0" w:color="auto"/>
                  </w:divBdr>
                  <w:divsChild>
                    <w:div w:id="1613249060">
                      <w:marLeft w:val="0"/>
                      <w:marRight w:val="0"/>
                      <w:marTop w:val="0"/>
                      <w:marBottom w:val="0"/>
                      <w:divBdr>
                        <w:top w:val="none" w:sz="0" w:space="0" w:color="auto"/>
                        <w:left w:val="none" w:sz="0" w:space="0" w:color="auto"/>
                        <w:bottom w:val="none" w:sz="0" w:space="0" w:color="auto"/>
                        <w:right w:val="none" w:sz="0" w:space="0" w:color="auto"/>
                      </w:divBdr>
                      <w:divsChild>
                        <w:div w:id="1525094284">
                          <w:marLeft w:val="0"/>
                          <w:marRight w:val="0"/>
                          <w:marTop w:val="0"/>
                          <w:marBottom w:val="0"/>
                          <w:divBdr>
                            <w:top w:val="none" w:sz="0" w:space="0" w:color="auto"/>
                            <w:left w:val="none" w:sz="0" w:space="0" w:color="auto"/>
                            <w:bottom w:val="none" w:sz="0" w:space="0" w:color="auto"/>
                            <w:right w:val="none" w:sz="0" w:space="0" w:color="auto"/>
                          </w:divBdr>
                          <w:divsChild>
                            <w:div w:id="728187841">
                              <w:marLeft w:val="0"/>
                              <w:marRight w:val="0"/>
                              <w:marTop w:val="0"/>
                              <w:marBottom w:val="0"/>
                              <w:divBdr>
                                <w:top w:val="none" w:sz="0" w:space="0" w:color="auto"/>
                                <w:left w:val="none" w:sz="0" w:space="0" w:color="auto"/>
                                <w:bottom w:val="none" w:sz="0" w:space="0" w:color="auto"/>
                                <w:right w:val="none" w:sz="0" w:space="0" w:color="auto"/>
                              </w:divBdr>
                              <w:divsChild>
                                <w:div w:id="504634715">
                                  <w:marLeft w:val="0"/>
                                  <w:marRight w:val="0"/>
                                  <w:marTop w:val="0"/>
                                  <w:marBottom w:val="0"/>
                                  <w:divBdr>
                                    <w:top w:val="none" w:sz="0" w:space="0" w:color="auto"/>
                                    <w:left w:val="none" w:sz="0" w:space="0" w:color="auto"/>
                                    <w:bottom w:val="none" w:sz="0" w:space="0" w:color="auto"/>
                                    <w:right w:val="none" w:sz="0" w:space="0" w:color="auto"/>
                                  </w:divBdr>
                                  <w:divsChild>
                                    <w:div w:id="296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14619">
                      <w:marLeft w:val="0"/>
                      <w:marRight w:val="0"/>
                      <w:marTop w:val="0"/>
                      <w:marBottom w:val="0"/>
                      <w:divBdr>
                        <w:top w:val="none" w:sz="0" w:space="0" w:color="auto"/>
                        <w:left w:val="none" w:sz="0" w:space="0" w:color="auto"/>
                        <w:bottom w:val="none" w:sz="0" w:space="0" w:color="auto"/>
                        <w:right w:val="none" w:sz="0" w:space="0" w:color="auto"/>
                      </w:divBdr>
                      <w:divsChild>
                        <w:div w:id="30562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936374">
      <w:bodyDiv w:val="1"/>
      <w:marLeft w:val="0"/>
      <w:marRight w:val="0"/>
      <w:marTop w:val="0"/>
      <w:marBottom w:val="0"/>
      <w:divBdr>
        <w:top w:val="none" w:sz="0" w:space="0" w:color="auto"/>
        <w:left w:val="none" w:sz="0" w:space="0" w:color="auto"/>
        <w:bottom w:val="none" w:sz="0" w:space="0" w:color="auto"/>
        <w:right w:val="none" w:sz="0" w:space="0" w:color="auto"/>
      </w:divBdr>
    </w:div>
    <w:div w:id="771901015">
      <w:bodyDiv w:val="1"/>
      <w:marLeft w:val="0"/>
      <w:marRight w:val="0"/>
      <w:marTop w:val="0"/>
      <w:marBottom w:val="0"/>
      <w:divBdr>
        <w:top w:val="none" w:sz="0" w:space="0" w:color="auto"/>
        <w:left w:val="none" w:sz="0" w:space="0" w:color="auto"/>
        <w:bottom w:val="none" w:sz="0" w:space="0" w:color="auto"/>
        <w:right w:val="none" w:sz="0" w:space="0" w:color="auto"/>
      </w:divBdr>
    </w:div>
    <w:div w:id="774205273">
      <w:bodyDiv w:val="1"/>
      <w:marLeft w:val="0"/>
      <w:marRight w:val="0"/>
      <w:marTop w:val="0"/>
      <w:marBottom w:val="0"/>
      <w:divBdr>
        <w:top w:val="none" w:sz="0" w:space="0" w:color="auto"/>
        <w:left w:val="none" w:sz="0" w:space="0" w:color="auto"/>
        <w:bottom w:val="none" w:sz="0" w:space="0" w:color="auto"/>
        <w:right w:val="none" w:sz="0" w:space="0" w:color="auto"/>
      </w:divBdr>
    </w:div>
    <w:div w:id="802311829">
      <w:bodyDiv w:val="1"/>
      <w:marLeft w:val="0"/>
      <w:marRight w:val="0"/>
      <w:marTop w:val="0"/>
      <w:marBottom w:val="0"/>
      <w:divBdr>
        <w:top w:val="none" w:sz="0" w:space="0" w:color="auto"/>
        <w:left w:val="none" w:sz="0" w:space="0" w:color="auto"/>
        <w:bottom w:val="none" w:sz="0" w:space="0" w:color="auto"/>
        <w:right w:val="none" w:sz="0" w:space="0" w:color="auto"/>
      </w:divBdr>
    </w:div>
    <w:div w:id="834497400">
      <w:bodyDiv w:val="1"/>
      <w:marLeft w:val="0"/>
      <w:marRight w:val="0"/>
      <w:marTop w:val="0"/>
      <w:marBottom w:val="0"/>
      <w:divBdr>
        <w:top w:val="none" w:sz="0" w:space="0" w:color="auto"/>
        <w:left w:val="none" w:sz="0" w:space="0" w:color="auto"/>
        <w:bottom w:val="none" w:sz="0" w:space="0" w:color="auto"/>
        <w:right w:val="none" w:sz="0" w:space="0" w:color="auto"/>
      </w:divBdr>
    </w:div>
    <w:div w:id="857085191">
      <w:bodyDiv w:val="1"/>
      <w:marLeft w:val="0"/>
      <w:marRight w:val="0"/>
      <w:marTop w:val="0"/>
      <w:marBottom w:val="0"/>
      <w:divBdr>
        <w:top w:val="none" w:sz="0" w:space="0" w:color="auto"/>
        <w:left w:val="none" w:sz="0" w:space="0" w:color="auto"/>
        <w:bottom w:val="none" w:sz="0" w:space="0" w:color="auto"/>
        <w:right w:val="none" w:sz="0" w:space="0" w:color="auto"/>
      </w:divBdr>
    </w:div>
    <w:div w:id="858079857">
      <w:bodyDiv w:val="1"/>
      <w:marLeft w:val="0"/>
      <w:marRight w:val="0"/>
      <w:marTop w:val="0"/>
      <w:marBottom w:val="0"/>
      <w:divBdr>
        <w:top w:val="none" w:sz="0" w:space="0" w:color="auto"/>
        <w:left w:val="none" w:sz="0" w:space="0" w:color="auto"/>
        <w:bottom w:val="none" w:sz="0" w:space="0" w:color="auto"/>
        <w:right w:val="none" w:sz="0" w:space="0" w:color="auto"/>
      </w:divBdr>
      <w:divsChild>
        <w:div w:id="733744317">
          <w:marLeft w:val="0"/>
          <w:marRight w:val="0"/>
          <w:marTop w:val="0"/>
          <w:marBottom w:val="0"/>
          <w:divBdr>
            <w:top w:val="none" w:sz="0" w:space="0" w:color="auto"/>
            <w:left w:val="none" w:sz="0" w:space="0" w:color="auto"/>
            <w:bottom w:val="none" w:sz="0" w:space="0" w:color="auto"/>
            <w:right w:val="none" w:sz="0" w:space="0" w:color="auto"/>
          </w:divBdr>
          <w:divsChild>
            <w:div w:id="1296063076">
              <w:marLeft w:val="0"/>
              <w:marRight w:val="0"/>
              <w:marTop w:val="0"/>
              <w:marBottom w:val="0"/>
              <w:divBdr>
                <w:top w:val="none" w:sz="0" w:space="0" w:color="auto"/>
                <w:left w:val="none" w:sz="0" w:space="0" w:color="auto"/>
                <w:bottom w:val="none" w:sz="0" w:space="0" w:color="auto"/>
                <w:right w:val="none" w:sz="0" w:space="0" w:color="auto"/>
              </w:divBdr>
            </w:div>
            <w:div w:id="12011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5222">
      <w:bodyDiv w:val="1"/>
      <w:marLeft w:val="0"/>
      <w:marRight w:val="0"/>
      <w:marTop w:val="0"/>
      <w:marBottom w:val="0"/>
      <w:divBdr>
        <w:top w:val="none" w:sz="0" w:space="0" w:color="auto"/>
        <w:left w:val="none" w:sz="0" w:space="0" w:color="auto"/>
        <w:bottom w:val="none" w:sz="0" w:space="0" w:color="auto"/>
        <w:right w:val="none" w:sz="0" w:space="0" w:color="auto"/>
      </w:divBdr>
    </w:div>
    <w:div w:id="871262309">
      <w:bodyDiv w:val="1"/>
      <w:marLeft w:val="0"/>
      <w:marRight w:val="0"/>
      <w:marTop w:val="0"/>
      <w:marBottom w:val="0"/>
      <w:divBdr>
        <w:top w:val="none" w:sz="0" w:space="0" w:color="auto"/>
        <w:left w:val="none" w:sz="0" w:space="0" w:color="auto"/>
        <w:bottom w:val="none" w:sz="0" w:space="0" w:color="auto"/>
        <w:right w:val="none" w:sz="0" w:space="0" w:color="auto"/>
      </w:divBdr>
    </w:div>
    <w:div w:id="880631248">
      <w:bodyDiv w:val="1"/>
      <w:marLeft w:val="0"/>
      <w:marRight w:val="0"/>
      <w:marTop w:val="0"/>
      <w:marBottom w:val="0"/>
      <w:divBdr>
        <w:top w:val="none" w:sz="0" w:space="0" w:color="auto"/>
        <w:left w:val="none" w:sz="0" w:space="0" w:color="auto"/>
        <w:bottom w:val="none" w:sz="0" w:space="0" w:color="auto"/>
        <w:right w:val="none" w:sz="0" w:space="0" w:color="auto"/>
      </w:divBdr>
    </w:div>
    <w:div w:id="902060818">
      <w:bodyDiv w:val="1"/>
      <w:marLeft w:val="0"/>
      <w:marRight w:val="0"/>
      <w:marTop w:val="0"/>
      <w:marBottom w:val="0"/>
      <w:divBdr>
        <w:top w:val="none" w:sz="0" w:space="0" w:color="auto"/>
        <w:left w:val="none" w:sz="0" w:space="0" w:color="auto"/>
        <w:bottom w:val="none" w:sz="0" w:space="0" w:color="auto"/>
        <w:right w:val="none" w:sz="0" w:space="0" w:color="auto"/>
      </w:divBdr>
    </w:div>
    <w:div w:id="904029693">
      <w:bodyDiv w:val="1"/>
      <w:marLeft w:val="0"/>
      <w:marRight w:val="0"/>
      <w:marTop w:val="0"/>
      <w:marBottom w:val="0"/>
      <w:divBdr>
        <w:top w:val="none" w:sz="0" w:space="0" w:color="auto"/>
        <w:left w:val="none" w:sz="0" w:space="0" w:color="auto"/>
        <w:bottom w:val="none" w:sz="0" w:space="0" w:color="auto"/>
        <w:right w:val="none" w:sz="0" w:space="0" w:color="auto"/>
      </w:divBdr>
    </w:div>
    <w:div w:id="914509658">
      <w:bodyDiv w:val="1"/>
      <w:marLeft w:val="0"/>
      <w:marRight w:val="0"/>
      <w:marTop w:val="0"/>
      <w:marBottom w:val="0"/>
      <w:divBdr>
        <w:top w:val="none" w:sz="0" w:space="0" w:color="auto"/>
        <w:left w:val="none" w:sz="0" w:space="0" w:color="auto"/>
        <w:bottom w:val="none" w:sz="0" w:space="0" w:color="auto"/>
        <w:right w:val="none" w:sz="0" w:space="0" w:color="auto"/>
      </w:divBdr>
    </w:div>
    <w:div w:id="927615459">
      <w:bodyDiv w:val="1"/>
      <w:marLeft w:val="0"/>
      <w:marRight w:val="0"/>
      <w:marTop w:val="0"/>
      <w:marBottom w:val="0"/>
      <w:divBdr>
        <w:top w:val="none" w:sz="0" w:space="0" w:color="auto"/>
        <w:left w:val="none" w:sz="0" w:space="0" w:color="auto"/>
        <w:bottom w:val="none" w:sz="0" w:space="0" w:color="auto"/>
        <w:right w:val="none" w:sz="0" w:space="0" w:color="auto"/>
      </w:divBdr>
    </w:div>
    <w:div w:id="931476813">
      <w:bodyDiv w:val="1"/>
      <w:marLeft w:val="0"/>
      <w:marRight w:val="0"/>
      <w:marTop w:val="0"/>
      <w:marBottom w:val="0"/>
      <w:divBdr>
        <w:top w:val="none" w:sz="0" w:space="0" w:color="auto"/>
        <w:left w:val="none" w:sz="0" w:space="0" w:color="auto"/>
        <w:bottom w:val="none" w:sz="0" w:space="0" w:color="auto"/>
        <w:right w:val="none" w:sz="0" w:space="0" w:color="auto"/>
      </w:divBdr>
    </w:div>
    <w:div w:id="937521463">
      <w:bodyDiv w:val="1"/>
      <w:marLeft w:val="0"/>
      <w:marRight w:val="0"/>
      <w:marTop w:val="0"/>
      <w:marBottom w:val="0"/>
      <w:divBdr>
        <w:top w:val="none" w:sz="0" w:space="0" w:color="auto"/>
        <w:left w:val="none" w:sz="0" w:space="0" w:color="auto"/>
        <w:bottom w:val="none" w:sz="0" w:space="0" w:color="auto"/>
        <w:right w:val="none" w:sz="0" w:space="0" w:color="auto"/>
      </w:divBdr>
      <w:divsChild>
        <w:div w:id="1172991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9894851">
      <w:bodyDiv w:val="1"/>
      <w:marLeft w:val="0"/>
      <w:marRight w:val="0"/>
      <w:marTop w:val="0"/>
      <w:marBottom w:val="0"/>
      <w:divBdr>
        <w:top w:val="none" w:sz="0" w:space="0" w:color="auto"/>
        <w:left w:val="none" w:sz="0" w:space="0" w:color="auto"/>
        <w:bottom w:val="none" w:sz="0" w:space="0" w:color="auto"/>
        <w:right w:val="none" w:sz="0" w:space="0" w:color="auto"/>
      </w:divBdr>
    </w:div>
    <w:div w:id="987592756">
      <w:bodyDiv w:val="1"/>
      <w:marLeft w:val="0"/>
      <w:marRight w:val="0"/>
      <w:marTop w:val="0"/>
      <w:marBottom w:val="0"/>
      <w:divBdr>
        <w:top w:val="none" w:sz="0" w:space="0" w:color="auto"/>
        <w:left w:val="none" w:sz="0" w:space="0" w:color="auto"/>
        <w:bottom w:val="none" w:sz="0" w:space="0" w:color="auto"/>
        <w:right w:val="none" w:sz="0" w:space="0" w:color="auto"/>
      </w:divBdr>
      <w:divsChild>
        <w:div w:id="314605298">
          <w:marLeft w:val="0"/>
          <w:marRight w:val="0"/>
          <w:marTop w:val="0"/>
          <w:marBottom w:val="0"/>
          <w:divBdr>
            <w:top w:val="none" w:sz="0" w:space="0" w:color="auto"/>
            <w:left w:val="none" w:sz="0" w:space="0" w:color="auto"/>
            <w:bottom w:val="none" w:sz="0" w:space="0" w:color="auto"/>
            <w:right w:val="none" w:sz="0" w:space="0" w:color="auto"/>
          </w:divBdr>
          <w:divsChild>
            <w:div w:id="1462191309">
              <w:marLeft w:val="0"/>
              <w:marRight w:val="0"/>
              <w:marTop w:val="0"/>
              <w:marBottom w:val="0"/>
              <w:divBdr>
                <w:top w:val="none" w:sz="0" w:space="0" w:color="auto"/>
                <w:left w:val="none" w:sz="0" w:space="0" w:color="auto"/>
                <w:bottom w:val="none" w:sz="0" w:space="0" w:color="auto"/>
                <w:right w:val="none" w:sz="0" w:space="0" w:color="auto"/>
              </w:divBdr>
              <w:divsChild>
                <w:div w:id="958993742">
                  <w:marLeft w:val="0"/>
                  <w:marRight w:val="0"/>
                  <w:marTop w:val="0"/>
                  <w:marBottom w:val="0"/>
                  <w:divBdr>
                    <w:top w:val="none" w:sz="0" w:space="0" w:color="auto"/>
                    <w:left w:val="none" w:sz="0" w:space="0" w:color="auto"/>
                    <w:bottom w:val="none" w:sz="0" w:space="0" w:color="auto"/>
                    <w:right w:val="none" w:sz="0" w:space="0" w:color="auto"/>
                  </w:divBdr>
                  <w:divsChild>
                    <w:div w:id="495416653">
                      <w:marLeft w:val="0"/>
                      <w:marRight w:val="0"/>
                      <w:marTop w:val="0"/>
                      <w:marBottom w:val="0"/>
                      <w:divBdr>
                        <w:top w:val="none" w:sz="0" w:space="0" w:color="auto"/>
                        <w:left w:val="none" w:sz="0" w:space="0" w:color="auto"/>
                        <w:bottom w:val="none" w:sz="0" w:space="0" w:color="auto"/>
                        <w:right w:val="none" w:sz="0" w:space="0" w:color="auto"/>
                      </w:divBdr>
                      <w:divsChild>
                        <w:div w:id="271210346">
                          <w:marLeft w:val="0"/>
                          <w:marRight w:val="0"/>
                          <w:marTop w:val="0"/>
                          <w:marBottom w:val="0"/>
                          <w:divBdr>
                            <w:top w:val="none" w:sz="0" w:space="0" w:color="auto"/>
                            <w:left w:val="none" w:sz="0" w:space="0" w:color="auto"/>
                            <w:bottom w:val="none" w:sz="0" w:space="0" w:color="auto"/>
                            <w:right w:val="none" w:sz="0" w:space="0" w:color="auto"/>
                          </w:divBdr>
                          <w:divsChild>
                            <w:div w:id="960459594">
                              <w:marLeft w:val="0"/>
                              <w:marRight w:val="0"/>
                              <w:marTop w:val="0"/>
                              <w:marBottom w:val="0"/>
                              <w:divBdr>
                                <w:top w:val="none" w:sz="0" w:space="0" w:color="auto"/>
                                <w:left w:val="none" w:sz="0" w:space="0" w:color="auto"/>
                                <w:bottom w:val="none" w:sz="0" w:space="0" w:color="auto"/>
                                <w:right w:val="none" w:sz="0" w:space="0" w:color="auto"/>
                              </w:divBdr>
                              <w:divsChild>
                                <w:div w:id="2011057309">
                                  <w:marLeft w:val="0"/>
                                  <w:marRight w:val="0"/>
                                  <w:marTop w:val="0"/>
                                  <w:marBottom w:val="0"/>
                                  <w:divBdr>
                                    <w:top w:val="none" w:sz="0" w:space="0" w:color="auto"/>
                                    <w:left w:val="none" w:sz="0" w:space="0" w:color="auto"/>
                                    <w:bottom w:val="none" w:sz="0" w:space="0" w:color="auto"/>
                                    <w:right w:val="none" w:sz="0" w:space="0" w:color="auto"/>
                                  </w:divBdr>
                                  <w:divsChild>
                                    <w:div w:id="21135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98431">
                      <w:marLeft w:val="0"/>
                      <w:marRight w:val="0"/>
                      <w:marTop w:val="0"/>
                      <w:marBottom w:val="0"/>
                      <w:divBdr>
                        <w:top w:val="none" w:sz="0" w:space="0" w:color="auto"/>
                        <w:left w:val="none" w:sz="0" w:space="0" w:color="auto"/>
                        <w:bottom w:val="none" w:sz="0" w:space="0" w:color="auto"/>
                        <w:right w:val="none" w:sz="0" w:space="0" w:color="auto"/>
                      </w:divBdr>
                      <w:divsChild>
                        <w:div w:id="11351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768435">
      <w:bodyDiv w:val="1"/>
      <w:marLeft w:val="0"/>
      <w:marRight w:val="0"/>
      <w:marTop w:val="0"/>
      <w:marBottom w:val="0"/>
      <w:divBdr>
        <w:top w:val="none" w:sz="0" w:space="0" w:color="auto"/>
        <w:left w:val="none" w:sz="0" w:space="0" w:color="auto"/>
        <w:bottom w:val="none" w:sz="0" w:space="0" w:color="auto"/>
        <w:right w:val="none" w:sz="0" w:space="0" w:color="auto"/>
      </w:divBdr>
    </w:div>
    <w:div w:id="999698413">
      <w:bodyDiv w:val="1"/>
      <w:marLeft w:val="0"/>
      <w:marRight w:val="0"/>
      <w:marTop w:val="0"/>
      <w:marBottom w:val="0"/>
      <w:divBdr>
        <w:top w:val="none" w:sz="0" w:space="0" w:color="auto"/>
        <w:left w:val="none" w:sz="0" w:space="0" w:color="auto"/>
        <w:bottom w:val="none" w:sz="0" w:space="0" w:color="auto"/>
        <w:right w:val="none" w:sz="0" w:space="0" w:color="auto"/>
      </w:divBdr>
    </w:div>
    <w:div w:id="1004942762">
      <w:bodyDiv w:val="1"/>
      <w:marLeft w:val="0"/>
      <w:marRight w:val="0"/>
      <w:marTop w:val="0"/>
      <w:marBottom w:val="0"/>
      <w:divBdr>
        <w:top w:val="none" w:sz="0" w:space="0" w:color="auto"/>
        <w:left w:val="none" w:sz="0" w:space="0" w:color="auto"/>
        <w:bottom w:val="none" w:sz="0" w:space="0" w:color="auto"/>
        <w:right w:val="none" w:sz="0" w:space="0" w:color="auto"/>
      </w:divBdr>
    </w:div>
    <w:div w:id="1023479744">
      <w:bodyDiv w:val="1"/>
      <w:marLeft w:val="0"/>
      <w:marRight w:val="0"/>
      <w:marTop w:val="0"/>
      <w:marBottom w:val="0"/>
      <w:divBdr>
        <w:top w:val="none" w:sz="0" w:space="0" w:color="auto"/>
        <w:left w:val="none" w:sz="0" w:space="0" w:color="auto"/>
        <w:bottom w:val="none" w:sz="0" w:space="0" w:color="auto"/>
        <w:right w:val="none" w:sz="0" w:space="0" w:color="auto"/>
      </w:divBdr>
    </w:div>
    <w:div w:id="1043673474">
      <w:bodyDiv w:val="1"/>
      <w:marLeft w:val="0"/>
      <w:marRight w:val="0"/>
      <w:marTop w:val="0"/>
      <w:marBottom w:val="0"/>
      <w:divBdr>
        <w:top w:val="none" w:sz="0" w:space="0" w:color="auto"/>
        <w:left w:val="none" w:sz="0" w:space="0" w:color="auto"/>
        <w:bottom w:val="none" w:sz="0" w:space="0" w:color="auto"/>
        <w:right w:val="none" w:sz="0" w:space="0" w:color="auto"/>
      </w:divBdr>
    </w:div>
    <w:div w:id="1068461710">
      <w:bodyDiv w:val="1"/>
      <w:marLeft w:val="0"/>
      <w:marRight w:val="0"/>
      <w:marTop w:val="0"/>
      <w:marBottom w:val="0"/>
      <w:divBdr>
        <w:top w:val="none" w:sz="0" w:space="0" w:color="auto"/>
        <w:left w:val="none" w:sz="0" w:space="0" w:color="auto"/>
        <w:bottom w:val="none" w:sz="0" w:space="0" w:color="auto"/>
        <w:right w:val="none" w:sz="0" w:space="0" w:color="auto"/>
      </w:divBdr>
    </w:div>
    <w:div w:id="1104810056">
      <w:bodyDiv w:val="1"/>
      <w:marLeft w:val="0"/>
      <w:marRight w:val="0"/>
      <w:marTop w:val="0"/>
      <w:marBottom w:val="0"/>
      <w:divBdr>
        <w:top w:val="none" w:sz="0" w:space="0" w:color="auto"/>
        <w:left w:val="none" w:sz="0" w:space="0" w:color="auto"/>
        <w:bottom w:val="none" w:sz="0" w:space="0" w:color="auto"/>
        <w:right w:val="none" w:sz="0" w:space="0" w:color="auto"/>
      </w:divBdr>
    </w:div>
    <w:div w:id="1105342027">
      <w:bodyDiv w:val="1"/>
      <w:marLeft w:val="0"/>
      <w:marRight w:val="0"/>
      <w:marTop w:val="0"/>
      <w:marBottom w:val="0"/>
      <w:divBdr>
        <w:top w:val="none" w:sz="0" w:space="0" w:color="auto"/>
        <w:left w:val="none" w:sz="0" w:space="0" w:color="auto"/>
        <w:bottom w:val="none" w:sz="0" w:space="0" w:color="auto"/>
        <w:right w:val="none" w:sz="0" w:space="0" w:color="auto"/>
      </w:divBdr>
    </w:div>
    <w:div w:id="1107428453">
      <w:bodyDiv w:val="1"/>
      <w:marLeft w:val="0"/>
      <w:marRight w:val="0"/>
      <w:marTop w:val="0"/>
      <w:marBottom w:val="0"/>
      <w:divBdr>
        <w:top w:val="none" w:sz="0" w:space="0" w:color="auto"/>
        <w:left w:val="none" w:sz="0" w:space="0" w:color="auto"/>
        <w:bottom w:val="none" w:sz="0" w:space="0" w:color="auto"/>
        <w:right w:val="none" w:sz="0" w:space="0" w:color="auto"/>
      </w:divBdr>
    </w:div>
    <w:div w:id="1114013479">
      <w:bodyDiv w:val="1"/>
      <w:marLeft w:val="0"/>
      <w:marRight w:val="0"/>
      <w:marTop w:val="0"/>
      <w:marBottom w:val="0"/>
      <w:divBdr>
        <w:top w:val="none" w:sz="0" w:space="0" w:color="auto"/>
        <w:left w:val="none" w:sz="0" w:space="0" w:color="auto"/>
        <w:bottom w:val="none" w:sz="0" w:space="0" w:color="auto"/>
        <w:right w:val="none" w:sz="0" w:space="0" w:color="auto"/>
      </w:divBdr>
    </w:div>
    <w:div w:id="1145246003">
      <w:bodyDiv w:val="1"/>
      <w:marLeft w:val="0"/>
      <w:marRight w:val="0"/>
      <w:marTop w:val="0"/>
      <w:marBottom w:val="0"/>
      <w:divBdr>
        <w:top w:val="none" w:sz="0" w:space="0" w:color="auto"/>
        <w:left w:val="none" w:sz="0" w:space="0" w:color="auto"/>
        <w:bottom w:val="none" w:sz="0" w:space="0" w:color="auto"/>
        <w:right w:val="none" w:sz="0" w:space="0" w:color="auto"/>
      </w:divBdr>
    </w:div>
    <w:div w:id="1160346661">
      <w:bodyDiv w:val="1"/>
      <w:marLeft w:val="0"/>
      <w:marRight w:val="0"/>
      <w:marTop w:val="0"/>
      <w:marBottom w:val="0"/>
      <w:divBdr>
        <w:top w:val="none" w:sz="0" w:space="0" w:color="auto"/>
        <w:left w:val="none" w:sz="0" w:space="0" w:color="auto"/>
        <w:bottom w:val="none" w:sz="0" w:space="0" w:color="auto"/>
        <w:right w:val="none" w:sz="0" w:space="0" w:color="auto"/>
      </w:divBdr>
    </w:div>
    <w:div w:id="1164857180">
      <w:bodyDiv w:val="1"/>
      <w:marLeft w:val="0"/>
      <w:marRight w:val="0"/>
      <w:marTop w:val="0"/>
      <w:marBottom w:val="0"/>
      <w:divBdr>
        <w:top w:val="none" w:sz="0" w:space="0" w:color="auto"/>
        <w:left w:val="none" w:sz="0" w:space="0" w:color="auto"/>
        <w:bottom w:val="none" w:sz="0" w:space="0" w:color="auto"/>
        <w:right w:val="none" w:sz="0" w:space="0" w:color="auto"/>
      </w:divBdr>
    </w:div>
    <w:div w:id="1164929466">
      <w:bodyDiv w:val="1"/>
      <w:marLeft w:val="0"/>
      <w:marRight w:val="0"/>
      <w:marTop w:val="0"/>
      <w:marBottom w:val="0"/>
      <w:divBdr>
        <w:top w:val="none" w:sz="0" w:space="0" w:color="auto"/>
        <w:left w:val="none" w:sz="0" w:space="0" w:color="auto"/>
        <w:bottom w:val="none" w:sz="0" w:space="0" w:color="auto"/>
        <w:right w:val="none" w:sz="0" w:space="0" w:color="auto"/>
      </w:divBdr>
    </w:div>
    <w:div w:id="1167861736">
      <w:bodyDiv w:val="1"/>
      <w:marLeft w:val="0"/>
      <w:marRight w:val="0"/>
      <w:marTop w:val="0"/>
      <w:marBottom w:val="0"/>
      <w:divBdr>
        <w:top w:val="none" w:sz="0" w:space="0" w:color="auto"/>
        <w:left w:val="none" w:sz="0" w:space="0" w:color="auto"/>
        <w:bottom w:val="none" w:sz="0" w:space="0" w:color="auto"/>
        <w:right w:val="none" w:sz="0" w:space="0" w:color="auto"/>
      </w:divBdr>
    </w:div>
    <w:div w:id="1172452068">
      <w:bodyDiv w:val="1"/>
      <w:marLeft w:val="0"/>
      <w:marRight w:val="0"/>
      <w:marTop w:val="0"/>
      <w:marBottom w:val="0"/>
      <w:divBdr>
        <w:top w:val="none" w:sz="0" w:space="0" w:color="auto"/>
        <w:left w:val="none" w:sz="0" w:space="0" w:color="auto"/>
        <w:bottom w:val="none" w:sz="0" w:space="0" w:color="auto"/>
        <w:right w:val="none" w:sz="0" w:space="0" w:color="auto"/>
      </w:divBdr>
    </w:div>
    <w:div w:id="1180120053">
      <w:bodyDiv w:val="1"/>
      <w:marLeft w:val="0"/>
      <w:marRight w:val="0"/>
      <w:marTop w:val="0"/>
      <w:marBottom w:val="0"/>
      <w:divBdr>
        <w:top w:val="none" w:sz="0" w:space="0" w:color="auto"/>
        <w:left w:val="none" w:sz="0" w:space="0" w:color="auto"/>
        <w:bottom w:val="none" w:sz="0" w:space="0" w:color="auto"/>
        <w:right w:val="none" w:sz="0" w:space="0" w:color="auto"/>
      </w:divBdr>
    </w:div>
    <w:div w:id="1183546176">
      <w:bodyDiv w:val="1"/>
      <w:marLeft w:val="0"/>
      <w:marRight w:val="0"/>
      <w:marTop w:val="0"/>
      <w:marBottom w:val="0"/>
      <w:divBdr>
        <w:top w:val="none" w:sz="0" w:space="0" w:color="auto"/>
        <w:left w:val="none" w:sz="0" w:space="0" w:color="auto"/>
        <w:bottom w:val="none" w:sz="0" w:space="0" w:color="auto"/>
        <w:right w:val="none" w:sz="0" w:space="0" w:color="auto"/>
      </w:divBdr>
    </w:div>
    <w:div w:id="1189414976">
      <w:bodyDiv w:val="1"/>
      <w:marLeft w:val="0"/>
      <w:marRight w:val="0"/>
      <w:marTop w:val="0"/>
      <w:marBottom w:val="0"/>
      <w:divBdr>
        <w:top w:val="none" w:sz="0" w:space="0" w:color="auto"/>
        <w:left w:val="none" w:sz="0" w:space="0" w:color="auto"/>
        <w:bottom w:val="none" w:sz="0" w:space="0" w:color="auto"/>
        <w:right w:val="none" w:sz="0" w:space="0" w:color="auto"/>
      </w:divBdr>
    </w:div>
    <w:div w:id="1196775098">
      <w:bodyDiv w:val="1"/>
      <w:marLeft w:val="0"/>
      <w:marRight w:val="0"/>
      <w:marTop w:val="0"/>
      <w:marBottom w:val="0"/>
      <w:divBdr>
        <w:top w:val="none" w:sz="0" w:space="0" w:color="auto"/>
        <w:left w:val="none" w:sz="0" w:space="0" w:color="auto"/>
        <w:bottom w:val="none" w:sz="0" w:space="0" w:color="auto"/>
        <w:right w:val="none" w:sz="0" w:space="0" w:color="auto"/>
      </w:divBdr>
    </w:div>
    <w:div w:id="1306742057">
      <w:bodyDiv w:val="1"/>
      <w:marLeft w:val="0"/>
      <w:marRight w:val="0"/>
      <w:marTop w:val="0"/>
      <w:marBottom w:val="0"/>
      <w:divBdr>
        <w:top w:val="none" w:sz="0" w:space="0" w:color="auto"/>
        <w:left w:val="none" w:sz="0" w:space="0" w:color="auto"/>
        <w:bottom w:val="none" w:sz="0" w:space="0" w:color="auto"/>
        <w:right w:val="none" w:sz="0" w:space="0" w:color="auto"/>
      </w:divBdr>
    </w:div>
    <w:div w:id="1315648266">
      <w:bodyDiv w:val="1"/>
      <w:marLeft w:val="0"/>
      <w:marRight w:val="0"/>
      <w:marTop w:val="0"/>
      <w:marBottom w:val="0"/>
      <w:divBdr>
        <w:top w:val="none" w:sz="0" w:space="0" w:color="auto"/>
        <w:left w:val="none" w:sz="0" w:space="0" w:color="auto"/>
        <w:bottom w:val="none" w:sz="0" w:space="0" w:color="auto"/>
        <w:right w:val="none" w:sz="0" w:space="0" w:color="auto"/>
      </w:divBdr>
    </w:div>
    <w:div w:id="1320114489">
      <w:bodyDiv w:val="1"/>
      <w:marLeft w:val="0"/>
      <w:marRight w:val="0"/>
      <w:marTop w:val="0"/>
      <w:marBottom w:val="0"/>
      <w:divBdr>
        <w:top w:val="none" w:sz="0" w:space="0" w:color="auto"/>
        <w:left w:val="none" w:sz="0" w:space="0" w:color="auto"/>
        <w:bottom w:val="none" w:sz="0" w:space="0" w:color="auto"/>
        <w:right w:val="none" w:sz="0" w:space="0" w:color="auto"/>
      </w:divBdr>
    </w:div>
    <w:div w:id="1341007552">
      <w:bodyDiv w:val="1"/>
      <w:marLeft w:val="0"/>
      <w:marRight w:val="0"/>
      <w:marTop w:val="0"/>
      <w:marBottom w:val="0"/>
      <w:divBdr>
        <w:top w:val="none" w:sz="0" w:space="0" w:color="auto"/>
        <w:left w:val="none" w:sz="0" w:space="0" w:color="auto"/>
        <w:bottom w:val="none" w:sz="0" w:space="0" w:color="auto"/>
        <w:right w:val="none" w:sz="0" w:space="0" w:color="auto"/>
      </w:divBdr>
    </w:div>
    <w:div w:id="1371757838">
      <w:bodyDiv w:val="1"/>
      <w:marLeft w:val="0"/>
      <w:marRight w:val="0"/>
      <w:marTop w:val="0"/>
      <w:marBottom w:val="0"/>
      <w:divBdr>
        <w:top w:val="none" w:sz="0" w:space="0" w:color="auto"/>
        <w:left w:val="none" w:sz="0" w:space="0" w:color="auto"/>
        <w:bottom w:val="none" w:sz="0" w:space="0" w:color="auto"/>
        <w:right w:val="none" w:sz="0" w:space="0" w:color="auto"/>
      </w:divBdr>
    </w:div>
    <w:div w:id="1399940966">
      <w:bodyDiv w:val="1"/>
      <w:marLeft w:val="0"/>
      <w:marRight w:val="0"/>
      <w:marTop w:val="0"/>
      <w:marBottom w:val="0"/>
      <w:divBdr>
        <w:top w:val="none" w:sz="0" w:space="0" w:color="auto"/>
        <w:left w:val="none" w:sz="0" w:space="0" w:color="auto"/>
        <w:bottom w:val="none" w:sz="0" w:space="0" w:color="auto"/>
        <w:right w:val="none" w:sz="0" w:space="0" w:color="auto"/>
      </w:divBdr>
    </w:div>
    <w:div w:id="1417634929">
      <w:bodyDiv w:val="1"/>
      <w:marLeft w:val="0"/>
      <w:marRight w:val="0"/>
      <w:marTop w:val="0"/>
      <w:marBottom w:val="0"/>
      <w:divBdr>
        <w:top w:val="none" w:sz="0" w:space="0" w:color="auto"/>
        <w:left w:val="none" w:sz="0" w:space="0" w:color="auto"/>
        <w:bottom w:val="none" w:sz="0" w:space="0" w:color="auto"/>
        <w:right w:val="none" w:sz="0" w:space="0" w:color="auto"/>
      </w:divBdr>
    </w:div>
    <w:div w:id="1438989471">
      <w:bodyDiv w:val="1"/>
      <w:marLeft w:val="0"/>
      <w:marRight w:val="0"/>
      <w:marTop w:val="0"/>
      <w:marBottom w:val="0"/>
      <w:divBdr>
        <w:top w:val="none" w:sz="0" w:space="0" w:color="auto"/>
        <w:left w:val="none" w:sz="0" w:space="0" w:color="auto"/>
        <w:bottom w:val="none" w:sz="0" w:space="0" w:color="auto"/>
        <w:right w:val="none" w:sz="0" w:space="0" w:color="auto"/>
      </w:divBdr>
    </w:div>
    <w:div w:id="1466851685">
      <w:bodyDiv w:val="1"/>
      <w:marLeft w:val="0"/>
      <w:marRight w:val="0"/>
      <w:marTop w:val="0"/>
      <w:marBottom w:val="0"/>
      <w:divBdr>
        <w:top w:val="none" w:sz="0" w:space="0" w:color="auto"/>
        <w:left w:val="none" w:sz="0" w:space="0" w:color="auto"/>
        <w:bottom w:val="none" w:sz="0" w:space="0" w:color="auto"/>
        <w:right w:val="none" w:sz="0" w:space="0" w:color="auto"/>
      </w:divBdr>
    </w:div>
    <w:div w:id="1499464419">
      <w:bodyDiv w:val="1"/>
      <w:marLeft w:val="0"/>
      <w:marRight w:val="0"/>
      <w:marTop w:val="0"/>
      <w:marBottom w:val="0"/>
      <w:divBdr>
        <w:top w:val="none" w:sz="0" w:space="0" w:color="auto"/>
        <w:left w:val="none" w:sz="0" w:space="0" w:color="auto"/>
        <w:bottom w:val="none" w:sz="0" w:space="0" w:color="auto"/>
        <w:right w:val="none" w:sz="0" w:space="0" w:color="auto"/>
      </w:divBdr>
    </w:div>
    <w:div w:id="1501847826">
      <w:bodyDiv w:val="1"/>
      <w:marLeft w:val="0"/>
      <w:marRight w:val="0"/>
      <w:marTop w:val="0"/>
      <w:marBottom w:val="0"/>
      <w:divBdr>
        <w:top w:val="none" w:sz="0" w:space="0" w:color="auto"/>
        <w:left w:val="none" w:sz="0" w:space="0" w:color="auto"/>
        <w:bottom w:val="none" w:sz="0" w:space="0" w:color="auto"/>
        <w:right w:val="none" w:sz="0" w:space="0" w:color="auto"/>
      </w:divBdr>
    </w:div>
    <w:div w:id="1502627169">
      <w:bodyDiv w:val="1"/>
      <w:marLeft w:val="0"/>
      <w:marRight w:val="0"/>
      <w:marTop w:val="0"/>
      <w:marBottom w:val="0"/>
      <w:divBdr>
        <w:top w:val="none" w:sz="0" w:space="0" w:color="auto"/>
        <w:left w:val="none" w:sz="0" w:space="0" w:color="auto"/>
        <w:bottom w:val="none" w:sz="0" w:space="0" w:color="auto"/>
        <w:right w:val="none" w:sz="0" w:space="0" w:color="auto"/>
      </w:divBdr>
    </w:div>
    <w:div w:id="1510674129">
      <w:bodyDiv w:val="1"/>
      <w:marLeft w:val="0"/>
      <w:marRight w:val="0"/>
      <w:marTop w:val="0"/>
      <w:marBottom w:val="0"/>
      <w:divBdr>
        <w:top w:val="none" w:sz="0" w:space="0" w:color="auto"/>
        <w:left w:val="none" w:sz="0" w:space="0" w:color="auto"/>
        <w:bottom w:val="none" w:sz="0" w:space="0" w:color="auto"/>
        <w:right w:val="none" w:sz="0" w:space="0" w:color="auto"/>
      </w:divBdr>
    </w:div>
    <w:div w:id="1522668219">
      <w:bodyDiv w:val="1"/>
      <w:marLeft w:val="0"/>
      <w:marRight w:val="0"/>
      <w:marTop w:val="0"/>
      <w:marBottom w:val="0"/>
      <w:divBdr>
        <w:top w:val="none" w:sz="0" w:space="0" w:color="auto"/>
        <w:left w:val="none" w:sz="0" w:space="0" w:color="auto"/>
        <w:bottom w:val="none" w:sz="0" w:space="0" w:color="auto"/>
        <w:right w:val="none" w:sz="0" w:space="0" w:color="auto"/>
      </w:divBdr>
    </w:div>
    <w:div w:id="1533761796">
      <w:bodyDiv w:val="1"/>
      <w:marLeft w:val="0"/>
      <w:marRight w:val="0"/>
      <w:marTop w:val="0"/>
      <w:marBottom w:val="0"/>
      <w:divBdr>
        <w:top w:val="none" w:sz="0" w:space="0" w:color="auto"/>
        <w:left w:val="none" w:sz="0" w:space="0" w:color="auto"/>
        <w:bottom w:val="none" w:sz="0" w:space="0" w:color="auto"/>
        <w:right w:val="none" w:sz="0" w:space="0" w:color="auto"/>
      </w:divBdr>
    </w:div>
    <w:div w:id="1570457123">
      <w:bodyDiv w:val="1"/>
      <w:marLeft w:val="0"/>
      <w:marRight w:val="0"/>
      <w:marTop w:val="0"/>
      <w:marBottom w:val="0"/>
      <w:divBdr>
        <w:top w:val="none" w:sz="0" w:space="0" w:color="auto"/>
        <w:left w:val="none" w:sz="0" w:space="0" w:color="auto"/>
        <w:bottom w:val="none" w:sz="0" w:space="0" w:color="auto"/>
        <w:right w:val="none" w:sz="0" w:space="0" w:color="auto"/>
      </w:divBdr>
    </w:div>
    <w:div w:id="1684361349">
      <w:bodyDiv w:val="1"/>
      <w:marLeft w:val="0"/>
      <w:marRight w:val="0"/>
      <w:marTop w:val="0"/>
      <w:marBottom w:val="0"/>
      <w:divBdr>
        <w:top w:val="none" w:sz="0" w:space="0" w:color="auto"/>
        <w:left w:val="none" w:sz="0" w:space="0" w:color="auto"/>
        <w:bottom w:val="none" w:sz="0" w:space="0" w:color="auto"/>
        <w:right w:val="none" w:sz="0" w:space="0" w:color="auto"/>
      </w:divBdr>
    </w:div>
    <w:div w:id="1698654427">
      <w:bodyDiv w:val="1"/>
      <w:marLeft w:val="0"/>
      <w:marRight w:val="0"/>
      <w:marTop w:val="0"/>
      <w:marBottom w:val="0"/>
      <w:divBdr>
        <w:top w:val="none" w:sz="0" w:space="0" w:color="auto"/>
        <w:left w:val="none" w:sz="0" w:space="0" w:color="auto"/>
        <w:bottom w:val="none" w:sz="0" w:space="0" w:color="auto"/>
        <w:right w:val="none" w:sz="0" w:space="0" w:color="auto"/>
      </w:divBdr>
    </w:div>
    <w:div w:id="1701591171">
      <w:bodyDiv w:val="1"/>
      <w:marLeft w:val="0"/>
      <w:marRight w:val="0"/>
      <w:marTop w:val="0"/>
      <w:marBottom w:val="0"/>
      <w:divBdr>
        <w:top w:val="none" w:sz="0" w:space="0" w:color="auto"/>
        <w:left w:val="none" w:sz="0" w:space="0" w:color="auto"/>
        <w:bottom w:val="none" w:sz="0" w:space="0" w:color="auto"/>
        <w:right w:val="none" w:sz="0" w:space="0" w:color="auto"/>
      </w:divBdr>
    </w:div>
    <w:div w:id="1705475892">
      <w:bodyDiv w:val="1"/>
      <w:marLeft w:val="0"/>
      <w:marRight w:val="0"/>
      <w:marTop w:val="0"/>
      <w:marBottom w:val="0"/>
      <w:divBdr>
        <w:top w:val="none" w:sz="0" w:space="0" w:color="auto"/>
        <w:left w:val="none" w:sz="0" w:space="0" w:color="auto"/>
        <w:bottom w:val="none" w:sz="0" w:space="0" w:color="auto"/>
        <w:right w:val="none" w:sz="0" w:space="0" w:color="auto"/>
      </w:divBdr>
    </w:div>
    <w:div w:id="1720736832">
      <w:bodyDiv w:val="1"/>
      <w:marLeft w:val="0"/>
      <w:marRight w:val="0"/>
      <w:marTop w:val="0"/>
      <w:marBottom w:val="0"/>
      <w:divBdr>
        <w:top w:val="none" w:sz="0" w:space="0" w:color="auto"/>
        <w:left w:val="none" w:sz="0" w:space="0" w:color="auto"/>
        <w:bottom w:val="none" w:sz="0" w:space="0" w:color="auto"/>
        <w:right w:val="none" w:sz="0" w:space="0" w:color="auto"/>
      </w:divBdr>
    </w:div>
    <w:div w:id="1724527472">
      <w:bodyDiv w:val="1"/>
      <w:marLeft w:val="0"/>
      <w:marRight w:val="0"/>
      <w:marTop w:val="0"/>
      <w:marBottom w:val="0"/>
      <w:divBdr>
        <w:top w:val="none" w:sz="0" w:space="0" w:color="auto"/>
        <w:left w:val="none" w:sz="0" w:space="0" w:color="auto"/>
        <w:bottom w:val="none" w:sz="0" w:space="0" w:color="auto"/>
        <w:right w:val="none" w:sz="0" w:space="0" w:color="auto"/>
      </w:divBdr>
    </w:div>
    <w:div w:id="1726172508">
      <w:bodyDiv w:val="1"/>
      <w:marLeft w:val="0"/>
      <w:marRight w:val="0"/>
      <w:marTop w:val="0"/>
      <w:marBottom w:val="0"/>
      <w:divBdr>
        <w:top w:val="none" w:sz="0" w:space="0" w:color="auto"/>
        <w:left w:val="none" w:sz="0" w:space="0" w:color="auto"/>
        <w:bottom w:val="none" w:sz="0" w:space="0" w:color="auto"/>
        <w:right w:val="none" w:sz="0" w:space="0" w:color="auto"/>
      </w:divBdr>
    </w:div>
    <w:div w:id="1740862363">
      <w:bodyDiv w:val="1"/>
      <w:marLeft w:val="0"/>
      <w:marRight w:val="0"/>
      <w:marTop w:val="0"/>
      <w:marBottom w:val="0"/>
      <w:divBdr>
        <w:top w:val="none" w:sz="0" w:space="0" w:color="auto"/>
        <w:left w:val="none" w:sz="0" w:space="0" w:color="auto"/>
        <w:bottom w:val="none" w:sz="0" w:space="0" w:color="auto"/>
        <w:right w:val="none" w:sz="0" w:space="0" w:color="auto"/>
      </w:divBdr>
    </w:div>
    <w:div w:id="1747609829">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7189393">
      <w:bodyDiv w:val="1"/>
      <w:marLeft w:val="0"/>
      <w:marRight w:val="0"/>
      <w:marTop w:val="0"/>
      <w:marBottom w:val="0"/>
      <w:divBdr>
        <w:top w:val="none" w:sz="0" w:space="0" w:color="auto"/>
        <w:left w:val="none" w:sz="0" w:space="0" w:color="auto"/>
        <w:bottom w:val="none" w:sz="0" w:space="0" w:color="auto"/>
        <w:right w:val="none" w:sz="0" w:space="0" w:color="auto"/>
      </w:divBdr>
    </w:div>
    <w:div w:id="1772893863">
      <w:bodyDiv w:val="1"/>
      <w:marLeft w:val="0"/>
      <w:marRight w:val="0"/>
      <w:marTop w:val="0"/>
      <w:marBottom w:val="0"/>
      <w:divBdr>
        <w:top w:val="none" w:sz="0" w:space="0" w:color="auto"/>
        <w:left w:val="none" w:sz="0" w:space="0" w:color="auto"/>
        <w:bottom w:val="none" w:sz="0" w:space="0" w:color="auto"/>
        <w:right w:val="none" w:sz="0" w:space="0" w:color="auto"/>
      </w:divBdr>
    </w:div>
    <w:div w:id="1785030682">
      <w:bodyDiv w:val="1"/>
      <w:marLeft w:val="0"/>
      <w:marRight w:val="0"/>
      <w:marTop w:val="0"/>
      <w:marBottom w:val="0"/>
      <w:divBdr>
        <w:top w:val="none" w:sz="0" w:space="0" w:color="auto"/>
        <w:left w:val="none" w:sz="0" w:space="0" w:color="auto"/>
        <w:bottom w:val="none" w:sz="0" w:space="0" w:color="auto"/>
        <w:right w:val="none" w:sz="0" w:space="0" w:color="auto"/>
      </w:divBdr>
    </w:div>
    <w:div w:id="1789854296">
      <w:bodyDiv w:val="1"/>
      <w:marLeft w:val="0"/>
      <w:marRight w:val="0"/>
      <w:marTop w:val="0"/>
      <w:marBottom w:val="0"/>
      <w:divBdr>
        <w:top w:val="none" w:sz="0" w:space="0" w:color="auto"/>
        <w:left w:val="none" w:sz="0" w:space="0" w:color="auto"/>
        <w:bottom w:val="none" w:sz="0" w:space="0" w:color="auto"/>
        <w:right w:val="none" w:sz="0" w:space="0" w:color="auto"/>
      </w:divBdr>
    </w:div>
    <w:div w:id="1791969280">
      <w:bodyDiv w:val="1"/>
      <w:marLeft w:val="0"/>
      <w:marRight w:val="0"/>
      <w:marTop w:val="0"/>
      <w:marBottom w:val="0"/>
      <w:divBdr>
        <w:top w:val="none" w:sz="0" w:space="0" w:color="auto"/>
        <w:left w:val="none" w:sz="0" w:space="0" w:color="auto"/>
        <w:bottom w:val="none" w:sz="0" w:space="0" w:color="auto"/>
        <w:right w:val="none" w:sz="0" w:space="0" w:color="auto"/>
      </w:divBdr>
    </w:div>
    <w:div w:id="1851724917">
      <w:bodyDiv w:val="1"/>
      <w:marLeft w:val="0"/>
      <w:marRight w:val="0"/>
      <w:marTop w:val="0"/>
      <w:marBottom w:val="0"/>
      <w:divBdr>
        <w:top w:val="none" w:sz="0" w:space="0" w:color="auto"/>
        <w:left w:val="none" w:sz="0" w:space="0" w:color="auto"/>
        <w:bottom w:val="none" w:sz="0" w:space="0" w:color="auto"/>
        <w:right w:val="none" w:sz="0" w:space="0" w:color="auto"/>
      </w:divBdr>
    </w:div>
    <w:div w:id="1866209481">
      <w:bodyDiv w:val="1"/>
      <w:marLeft w:val="0"/>
      <w:marRight w:val="0"/>
      <w:marTop w:val="0"/>
      <w:marBottom w:val="0"/>
      <w:divBdr>
        <w:top w:val="none" w:sz="0" w:space="0" w:color="auto"/>
        <w:left w:val="none" w:sz="0" w:space="0" w:color="auto"/>
        <w:bottom w:val="none" w:sz="0" w:space="0" w:color="auto"/>
        <w:right w:val="none" w:sz="0" w:space="0" w:color="auto"/>
      </w:divBdr>
    </w:div>
    <w:div w:id="1885098512">
      <w:bodyDiv w:val="1"/>
      <w:marLeft w:val="0"/>
      <w:marRight w:val="0"/>
      <w:marTop w:val="0"/>
      <w:marBottom w:val="0"/>
      <w:divBdr>
        <w:top w:val="none" w:sz="0" w:space="0" w:color="auto"/>
        <w:left w:val="none" w:sz="0" w:space="0" w:color="auto"/>
        <w:bottom w:val="none" w:sz="0" w:space="0" w:color="auto"/>
        <w:right w:val="none" w:sz="0" w:space="0" w:color="auto"/>
      </w:divBdr>
    </w:div>
    <w:div w:id="1895654468">
      <w:bodyDiv w:val="1"/>
      <w:marLeft w:val="0"/>
      <w:marRight w:val="0"/>
      <w:marTop w:val="0"/>
      <w:marBottom w:val="0"/>
      <w:divBdr>
        <w:top w:val="none" w:sz="0" w:space="0" w:color="auto"/>
        <w:left w:val="none" w:sz="0" w:space="0" w:color="auto"/>
        <w:bottom w:val="none" w:sz="0" w:space="0" w:color="auto"/>
        <w:right w:val="none" w:sz="0" w:space="0" w:color="auto"/>
      </w:divBdr>
    </w:div>
    <w:div w:id="1899318752">
      <w:bodyDiv w:val="1"/>
      <w:marLeft w:val="0"/>
      <w:marRight w:val="0"/>
      <w:marTop w:val="0"/>
      <w:marBottom w:val="0"/>
      <w:divBdr>
        <w:top w:val="none" w:sz="0" w:space="0" w:color="auto"/>
        <w:left w:val="none" w:sz="0" w:space="0" w:color="auto"/>
        <w:bottom w:val="none" w:sz="0" w:space="0" w:color="auto"/>
        <w:right w:val="none" w:sz="0" w:space="0" w:color="auto"/>
      </w:divBdr>
    </w:div>
    <w:div w:id="1904438359">
      <w:bodyDiv w:val="1"/>
      <w:marLeft w:val="0"/>
      <w:marRight w:val="0"/>
      <w:marTop w:val="0"/>
      <w:marBottom w:val="0"/>
      <w:divBdr>
        <w:top w:val="none" w:sz="0" w:space="0" w:color="auto"/>
        <w:left w:val="none" w:sz="0" w:space="0" w:color="auto"/>
        <w:bottom w:val="none" w:sz="0" w:space="0" w:color="auto"/>
        <w:right w:val="none" w:sz="0" w:space="0" w:color="auto"/>
      </w:divBdr>
    </w:div>
    <w:div w:id="1908303272">
      <w:bodyDiv w:val="1"/>
      <w:marLeft w:val="0"/>
      <w:marRight w:val="0"/>
      <w:marTop w:val="0"/>
      <w:marBottom w:val="0"/>
      <w:divBdr>
        <w:top w:val="none" w:sz="0" w:space="0" w:color="auto"/>
        <w:left w:val="none" w:sz="0" w:space="0" w:color="auto"/>
        <w:bottom w:val="none" w:sz="0" w:space="0" w:color="auto"/>
        <w:right w:val="none" w:sz="0" w:space="0" w:color="auto"/>
      </w:divBdr>
    </w:div>
    <w:div w:id="1941143004">
      <w:bodyDiv w:val="1"/>
      <w:marLeft w:val="0"/>
      <w:marRight w:val="0"/>
      <w:marTop w:val="0"/>
      <w:marBottom w:val="0"/>
      <w:divBdr>
        <w:top w:val="none" w:sz="0" w:space="0" w:color="auto"/>
        <w:left w:val="none" w:sz="0" w:space="0" w:color="auto"/>
        <w:bottom w:val="none" w:sz="0" w:space="0" w:color="auto"/>
        <w:right w:val="none" w:sz="0" w:space="0" w:color="auto"/>
      </w:divBdr>
    </w:div>
    <w:div w:id="1947928896">
      <w:bodyDiv w:val="1"/>
      <w:marLeft w:val="0"/>
      <w:marRight w:val="0"/>
      <w:marTop w:val="0"/>
      <w:marBottom w:val="0"/>
      <w:divBdr>
        <w:top w:val="none" w:sz="0" w:space="0" w:color="auto"/>
        <w:left w:val="none" w:sz="0" w:space="0" w:color="auto"/>
        <w:bottom w:val="none" w:sz="0" w:space="0" w:color="auto"/>
        <w:right w:val="none" w:sz="0" w:space="0" w:color="auto"/>
      </w:divBdr>
    </w:div>
    <w:div w:id="1969696514">
      <w:bodyDiv w:val="1"/>
      <w:marLeft w:val="0"/>
      <w:marRight w:val="0"/>
      <w:marTop w:val="0"/>
      <w:marBottom w:val="0"/>
      <w:divBdr>
        <w:top w:val="none" w:sz="0" w:space="0" w:color="auto"/>
        <w:left w:val="none" w:sz="0" w:space="0" w:color="auto"/>
        <w:bottom w:val="none" w:sz="0" w:space="0" w:color="auto"/>
        <w:right w:val="none" w:sz="0" w:space="0" w:color="auto"/>
      </w:divBdr>
    </w:div>
    <w:div w:id="1984306592">
      <w:bodyDiv w:val="1"/>
      <w:marLeft w:val="0"/>
      <w:marRight w:val="0"/>
      <w:marTop w:val="0"/>
      <w:marBottom w:val="0"/>
      <w:divBdr>
        <w:top w:val="none" w:sz="0" w:space="0" w:color="auto"/>
        <w:left w:val="none" w:sz="0" w:space="0" w:color="auto"/>
        <w:bottom w:val="none" w:sz="0" w:space="0" w:color="auto"/>
        <w:right w:val="none" w:sz="0" w:space="0" w:color="auto"/>
      </w:divBdr>
    </w:div>
    <w:div w:id="1987666017">
      <w:bodyDiv w:val="1"/>
      <w:marLeft w:val="0"/>
      <w:marRight w:val="0"/>
      <w:marTop w:val="0"/>
      <w:marBottom w:val="0"/>
      <w:divBdr>
        <w:top w:val="none" w:sz="0" w:space="0" w:color="auto"/>
        <w:left w:val="none" w:sz="0" w:space="0" w:color="auto"/>
        <w:bottom w:val="none" w:sz="0" w:space="0" w:color="auto"/>
        <w:right w:val="none" w:sz="0" w:space="0" w:color="auto"/>
      </w:divBdr>
    </w:div>
    <w:div w:id="2040742926">
      <w:bodyDiv w:val="1"/>
      <w:marLeft w:val="0"/>
      <w:marRight w:val="0"/>
      <w:marTop w:val="0"/>
      <w:marBottom w:val="0"/>
      <w:divBdr>
        <w:top w:val="none" w:sz="0" w:space="0" w:color="auto"/>
        <w:left w:val="none" w:sz="0" w:space="0" w:color="auto"/>
        <w:bottom w:val="none" w:sz="0" w:space="0" w:color="auto"/>
        <w:right w:val="none" w:sz="0" w:space="0" w:color="auto"/>
      </w:divBdr>
    </w:div>
    <w:div w:id="2070305945">
      <w:bodyDiv w:val="1"/>
      <w:marLeft w:val="0"/>
      <w:marRight w:val="0"/>
      <w:marTop w:val="0"/>
      <w:marBottom w:val="0"/>
      <w:divBdr>
        <w:top w:val="none" w:sz="0" w:space="0" w:color="auto"/>
        <w:left w:val="none" w:sz="0" w:space="0" w:color="auto"/>
        <w:bottom w:val="none" w:sz="0" w:space="0" w:color="auto"/>
        <w:right w:val="none" w:sz="0" w:space="0" w:color="auto"/>
      </w:divBdr>
    </w:div>
    <w:div w:id="2070419737">
      <w:bodyDiv w:val="1"/>
      <w:marLeft w:val="0"/>
      <w:marRight w:val="0"/>
      <w:marTop w:val="0"/>
      <w:marBottom w:val="0"/>
      <w:divBdr>
        <w:top w:val="none" w:sz="0" w:space="0" w:color="auto"/>
        <w:left w:val="none" w:sz="0" w:space="0" w:color="auto"/>
        <w:bottom w:val="none" w:sz="0" w:space="0" w:color="auto"/>
        <w:right w:val="none" w:sz="0" w:space="0" w:color="auto"/>
      </w:divBdr>
    </w:div>
    <w:div w:id="2084522657">
      <w:bodyDiv w:val="1"/>
      <w:marLeft w:val="0"/>
      <w:marRight w:val="0"/>
      <w:marTop w:val="0"/>
      <w:marBottom w:val="0"/>
      <w:divBdr>
        <w:top w:val="none" w:sz="0" w:space="0" w:color="auto"/>
        <w:left w:val="none" w:sz="0" w:space="0" w:color="auto"/>
        <w:bottom w:val="none" w:sz="0" w:space="0" w:color="auto"/>
        <w:right w:val="none" w:sz="0" w:space="0" w:color="auto"/>
      </w:divBdr>
    </w:div>
    <w:div w:id="2091342986">
      <w:bodyDiv w:val="1"/>
      <w:marLeft w:val="0"/>
      <w:marRight w:val="0"/>
      <w:marTop w:val="0"/>
      <w:marBottom w:val="0"/>
      <w:divBdr>
        <w:top w:val="none" w:sz="0" w:space="0" w:color="auto"/>
        <w:left w:val="none" w:sz="0" w:space="0" w:color="auto"/>
        <w:bottom w:val="none" w:sz="0" w:space="0" w:color="auto"/>
        <w:right w:val="none" w:sz="0" w:space="0" w:color="auto"/>
      </w:divBdr>
    </w:div>
    <w:div w:id="2096628933">
      <w:bodyDiv w:val="1"/>
      <w:marLeft w:val="0"/>
      <w:marRight w:val="0"/>
      <w:marTop w:val="0"/>
      <w:marBottom w:val="0"/>
      <w:divBdr>
        <w:top w:val="none" w:sz="0" w:space="0" w:color="auto"/>
        <w:left w:val="none" w:sz="0" w:space="0" w:color="auto"/>
        <w:bottom w:val="none" w:sz="0" w:space="0" w:color="auto"/>
        <w:right w:val="none" w:sz="0" w:space="0" w:color="auto"/>
      </w:divBdr>
    </w:div>
    <w:div w:id="2103331502">
      <w:bodyDiv w:val="1"/>
      <w:marLeft w:val="0"/>
      <w:marRight w:val="0"/>
      <w:marTop w:val="0"/>
      <w:marBottom w:val="0"/>
      <w:divBdr>
        <w:top w:val="none" w:sz="0" w:space="0" w:color="auto"/>
        <w:left w:val="none" w:sz="0" w:space="0" w:color="auto"/>
        <w:bottom w:val="none" w:sz="0" w:space="0" w:color="auto"/>
        <w:right w:val="none" w:sz="0" w:space="0" w:color="auto"/>
      </w:divBdr>
    </w:div>
    <w:div w:id="2113746618">
      <w:bodyDiv w:val="1"/>
      <w:marLeft w:val="0"/>
      <w:marRight w:val="0"/>
      <w:marTop w:val="0"/>
      <w:marBottom w:val="0"/>
      <w:divBdr>
        <w:top w:val="none" w:sz="0" w:space="0" w:color="auto"/>
        <w:left w:val="none" w:sz="0" w:space="0" w:color="auto"/>
        <w:bottom w:val="none" w:sz="0" w:space="0" w:color="auto"/>
        <w:right w:val="none" w:sz="0" w:space="0" w:color="auto"/>
      </w:divBdr>
    </w:div>
    <w:div w:id="2119985108">
      <w:bodyDiv w:val="1"/>
      <w:marLeft w:val="0"/>
      <w:marRight w:val="0"/>
      <w:marTop w:val="0"/>
      <w:marBottom w:val="0"/>
      <w:divBdr>
        <w:top w:val="none" w:sz="0" w:space="0" w:color="auto"/>
        <w:left w:val="none" w:sz="0" w:space="0" w:color="auto"/>
        <w:bottom w:val="none" w:sz="0" w:space="0" w:color="auto"/>
        <w:right w:val="none" w:sz="0" w:space="0" w:color="auto"/>
      </w:divBdr>
    </w:div>
    <w:div w:id="2131313641">
      <w:bodyDiv w:val="1"/>
      <w:marLeft w:val="0"/>
      <w:marRight w:val="0"/>
      <w:marTop w:val="0"/>
      <w:marBottom w:val="0"/>
      <w:divBdr>
        <w:top w:val="none" w:sz="0" w:space="0" w:color="auto"/>
        <w:left w:val="none" w:sz="0" w:space="0" w:color="auto"/>
        <w:bottom w:val="none" w:sz="0" w:space="0" w:color="auto"/>
        <w:right w:val="none" w:sz="0" w:space="0" w:color="auto"/>
      </w:divBdr>
    </w:div>
    <w:div w:id="2133281777">
      <w:bodyDiv w:val="1"/>
      <w:marLeft w:val="0"/>
      <w:marRight w:val="0"/>
      <w:marTop w:val="0"/>
      <w:marBottom w:val="0"/>
      <w:divBdr>
        <w:top w:val="none" w:sz="0" w:space="0" w:color="auto"/>
        <w:left w:val="none" w:sz="0" w:space="0" w:color="auto"/>
        <w:bottom w:val="none" w:sz="0" w:space="0" w:color="auto"/>
        <w:right w:val="none" w:sz="0" w:space="0" w:color="auto"/>
      </w:divBdr>
    </w:div>
    <w:div w:id="21446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header" Target="header6.xml"/><Relationship Id="rId34" Type="http://schemas.openxmlformats.org/officeDocument/2006/relationships/chart" Target="charts/chart14.xml"/><Relationship Id="rId42" Type="http://schemas.openxmlformats.org/officeDocument/2006/relationships/footer" Target="footer4.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9.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7.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chart" Target="charts/chart11.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footer" Target="footer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eader" Target="header8.xml"/><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header" Target="header10.xml"/><Relationship Id="rId20" Type="http://schemas.openxmlformats.org/officeDocument/2006/relationships/header" Target="header5.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i\Desktop\Synesis%20Dropbox\2.Consultanta\CJ%20Tulcea%20strategie%20transport\Analiz&#259;%20proiect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Foaie_de_lucru_Microsoft_Excel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Foaie_de_lucru_Microsoft_Excel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Foaie_de_lucru_Microsoft_Excel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Foaie_de_lucru_Microsoft_Excel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Foaie_de_lucru_Microsoft_Excel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Synes\Synesis%20Dropbox\2.Consultanta\CJ%20Tulcea%20strategie%20transport\CHESTIONAR%20PRIVIND%20PERCEP&#538;IA%20ACTORILOR%20RELEVAN&#538;I%20ASUPRA%20NEVOILOR%20&#536;I%20POSIBILIT&#258;&#538;ILOR%20DE%20DEZVOLTARE%20A%20TRANSPORTURILOR%20&#206;N%20JUDE&#538;UL%20TULCE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Foaie_de_lucru_Microsoft_Excel1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Foaie_de_lucru_Microsoft_Excel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Foaie_de_lucru_Microsoft_Excel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Foaie_de_lucru_Microsoft_Excel14.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adi\Desktop\Synesis%20Dropbox\2.Consultanta\CJ%20Tulcea%20strategie%20transport\Analiz&#259;%20proiect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Foaie_de_lucru_Microsoft_Excel1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oaie_de_lucru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oaie_de_lucru_Microsoft_Excel2.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Synes\Synesis%20Dropbox\2.Consultanta\CJ%20Tulcea%20strategie%20transport\CHESTIONAR%20PRIVIND%20PERCEP&#538;IA%20ACTORILOR%20RELEVAN&#538;I%20ASUPRA%20NEVOILOR%20&#536;I%20POSIBILIT&#258;&#538;ILOR%20DE%20DEZVOLTARE%20A%20TRANSPORTURILOR%20&#206;N%20JUDE&#538;UL%20TULCE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Foaie_de_lucru_Microsoft_Excel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Synes\Synesis%20Dropbox\2.Consultanta\CJ%20Tulcea%20strategie%20transport\CHESTIONAR%20PRIVIND%20PERCEP&#538;IA%20ACTORILOR%20RELEVAN&#538;I%20ASUPRA%20NEVOILOR%20&#536;I%20POSIBILIT&#258;&#538;ILOR%20DE%20DEZVOLTARE%20A%20TRANSPORTURILOR%20&#206;N%20JUDE&#538;UL%20TULCE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Foaie_de_lucru_Microsoft_Excel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Foaie_de_lucru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344280827352428E-2"/>
          <c:y val="8.8148336296672597E-2"/>
          <c:w val="0.78358154015289949"/>
          <c:h val="0.5244002413004825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549-40B8-86F8-CDEEB69CB8D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549-40B8-86F8-CDEEB69CB8D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549-40B8-86F8-CDEEB69CB8D9}"/>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rebuchet MS" panose="020B0603020202020204" pitchFamily="34" charset="0"/>
                    <a:ea typeface="+mn-ea"/>
                    <a:cs typeface="+mn-cs"/>
                  </a:defRPr>
                </a:pPr>
                <a:endParaRPr lang="ro-R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'2007-2013'!$H$3:$H$5</c:f>
              <c:strCache>
                <c:ptCount val="3"/>
                <c:pt idx="0">
                  <c:v>Programul Operational Regional 2007-2013
</c:v>
                </c:pt>
                <c:pt idx="1">
                  <c:v>Programului Operațional Sectorial Transport 2007-2013</c:v>
                </c:pt>
                <c:pt idx="2">
                  <c:v>CNI</c:v>
                </c:pt>
              </c:strCache>
            </c:strRef>
          </c:cat>
          <c:val>
            <c:numRef>
              <c:f>'2007-2013'!$J$3:$J$5</c:f>
              <c:numCache>
                <c:formatCode>0.00%</c:formatCode>
                <c:ptCount val="3"/>
                <c:pt idx="0">
                  <c:v>0.7142857142857143</c:v>
                </c:pt>
                <c:pt idx="1">
                  <c:v>0.14285714285714285</c:v>
                </c:pt>
                <c:pt idx="2">
                  <c:v>0.14285714285714285</c:v>
                </c:pt>
              </c:numCache>
            </c:numRef>
          </c:val>
          <c:extLst xmlns:c16r2="http://schemas.microsoft.com/office/drawing/2015/06/chart">
            <c:ext xmlns:c16="http://schemas.microsoft.com/office/drawing/2014/chart" uri="{C3380CC4-5D6E-409C-BE32-E72D297353CC}">
              <c16:uniqueId val="{00000006-1549-40B8-86F8-CDEEB69CB8D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rebuchet MS" panose="020B0603020202020204" pitchFamily="34" charset="0"/>
        </a:defRPr>
      </a:pPr>
      <a:endParaRPr lang="ro-R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'Q8'!$B$3:$B$9</c:f>
              <c:strCache>
                <c:ptCount val="7"/>
                <c:pt idx="0">
                  <c:v>Turismul în Deltă și litoral</c:v>
                </c:pt>
                <c:pt idx="1">
                  <c:v>Poziția geostrategică (aproape de Ucraina, porturi strategice)</c:v>
                </c:pt>
                <c:pt idx="2">
                  <c:v>Accesul la fonduri europene pentru transport verde</c:v>
                </c:pt>
                <c:pt idx="3">
                  <c:v>Dezvoltarea porturilor și a transportului naval</c:v>
                </c:pt>
                <c:pt idx="4">
                  <c:v>Valorificarea resurselor locale (agricole, piscicole, industriale) prin optimizarea transportului</c:v>
                </c:pt>
                <c:pt idx="5">
                  <c:v>Atragerea de investitori în logistică și transport</c:v>
                </c:pt>
                <c:pt idx="6">
                  <c:v>Dezvoltarea transportului de mărfuri pe Dunăre</c:v>
                </c:pt>
              </c:strCache>
            </c:strRef>
          </c:cat>
          <c:val>
            <c:numRef>
              <c:f>'Q8'!$C$3:$C$9</c:f>
              <c:numCache>
                <c:formatCode>0.00%</c:formatCode>
                <c:ptCount val="7"/>
                <c:pt idx="0">
                  <c:v>0.20588235294117646</c:v>
                </c:pt>
                <c:pt idx="1">
                  <c:v>0.125</c:v>
                </c:pt>
                <c:pt idx="2">
                  <c:v>0.16911764705882354</c:v>
                </c:pt>
                <c:pt idx="3">
                  <c:v>0.125</c:v>
                </c:pt>
                <c:pt idx="4">
                  <c:v>0.11764705882352941</c:v>
                </c:pt>
                <c:pt idx="5">
                  <c:v>0.13235294117647059</c:v>
                </c:pt>
                <c:pt idx="6">
                  <c:v>0.125</c:v>
                </c:pt>
              </c:numCache>
            </c:numRef>
          </c:val>
          <c:extLst xmlns:c16r2="http://schemas.microsoft.com/office/drawing/2015/06/chart">
            <c:ext xmlns:c16="http://schemas.microsoft.com/office/drawing/2014/chart" uri="{C3380CC4-5D6E-409C-BE32-E72D297353CC}">
              <c16:uniqueId val="{00000000-8FB3-4153-8102-CD96E95EB0A0}"/>
            </c:ext>
          </c:extLst>
        </c:ser>
        <c:dLbls>
          <c:dLblPos val="outEnd"/>
          <c:showLegendKey val="0"/>
          <c:showVal val="1"/>
          <c:showCatName val="0"/>
          <c:showSerName val="0"/>
          <c:showPercent val="0"/>
          <c:showBubbleSize val="0"/>
        </c:dLbls>
        <c:gapWidth val="182"/>
        <c:axId val="1464763360"/>
        <c:axId val="1464762816"/>
      </c:barChart>
      <c:catAx>
        <c:axId val="1464763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62816"/>
        <c:crosses val="autoZero"/>
        <c:auto val="1"/>
        <c:lblAlgn val="ctr"/>
        <c:lblOffset val="100"/>
        <c:noMultiLvlLbl val="0"/>
      </c:catAx>
      <c:valAx>
        <c:axId val="14647628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63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607238701903831"/>
          <c:y val="0"/>
          <c:w val="0.38195590719699363"/>
          <c:h val="0.9792532106326215"/>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A9-40AA-81D0-62AD11B8931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A9-40AA-81D0-62AD11B8931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A9-40AA-81D0-62AD11B8931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A9-40AA-81D0-62AD11B8931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8A9-40AA-81D0-62AD11B89317}"/>
              </c:ext>
            </c:extLst>
          </c:dPt>
          <c:dLbls>
            <c:dLbl>
              <c:idx val="0"/>
              <c:layout>
                <c:manualLayout>
                  <c:x val="-5.3504547886570358E-2"/>
                  <c:y val="-3.7352559845682033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8A9-40AA-81D0-62AD11B89317}"/>
                </c:ext>
                <c:ext xmlns:c15="http://schemas.microsoft.com/office/drawing/2012/chart" uri="{CE6537A1-D6FC-4f65-9D91-7224C49458BB}"/>
              </c:extLst>
            </c:dLbl>
            <c:dLbl>
              <c:idx val="1"/>
              <c:layout>
                <c:manualLayout>
                  <c:x val="7.0626003210272792E-2"/>
                  <c:y val="-3.0376624608670903E-2"/>
                </c:manualLayout>
              </c:layout>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o-RO"/>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8A9-40AA-81D0-62AD11B8931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'Q9'!$B$5:$B$9</c:f>
              <c:numCache>
                <c:formatCode>General</c:formatCode>
                <c:ptCount val="5"/>
                <c:pt idx="0">
                  <c:v>1</c:v>
                </c:pt>
                <c:pt idx="1">
                  <c:v>2</c:v>
                </c:pt>
                <c:pt idx="2">
                  <c:v>3</c:v>
                </c:pt>
                <c:pt idx="3">
                  <c:v>4</c:v>
                </c:pt>
                <c:pt idx="4">
                  <c:v>5</c:v>
                </c:pt>
              </c:numCache>
            </c:numRef>
          </c:cat>
          <c:val>
            <c:numRef>
              <c:f>'Q9'!$C$5:$C$9</c:f>
              <c:numCache>
                <c:formatCode>0.00%</c:formatCode>
                <c:ptCount val="5"/>
                <c:pt idx="0">
                  <c:v>3.2258064516129031E-2</c:v>
                </c:pt>
                <c:pt idx="1">
                  <c:v>3.2258064516129031E-2</c:v>
                </c:pt>
                <c:pt idx="2">
                  <c:v>0.12903225806451613</c:v>
                </c:pt>
                <c:pt idx="3">
                  <c:v>0.16129032258064516</c:v>
                </c:pt>
                <c:pt idx="4">
                  <c:v>0.64516129032258063</c:v>
                </c:pt>
              </c:numCache>
            </c:numRef>
          </c:val>
          <c:extLst xmlns:c16r2="http://schemas.microsoft.com/office/drawing/2015/06/chart">
            <c:ext xmlns:c16="http://schemas.microsoft.com/office/drawing/2014/chart" uri="{C3380CC4-5D6E-409C-BE32-E72D297353CC}">
              <c16:uniqueId val="{0000000A-E8A9-40AA-81D0-62AD11B8931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8330885605591429"/>
          <c:y val="0.27720573389864728"/>
          <c:w val="0.23536423115649871"/>
          <c:h val="0.445588532202705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64772942708005"/>
          <c:y val="0"/>
          <c:w val="0.30317024978619245"/>
          <c:h val="0.97862728298859014"/>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ADD-4BC7-91C5-422ED5D8C7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ADD-4BC7-91C5-422ED5D8C7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ADD-4BC7-91C5-422ED5D8C79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ADD-4BC7-91C5-422ED5D8C796}"/>
              </c:ext>
            </c:extLst>
          </c:dPt>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'Q10'!$B$4:$B$7</c:f>
              <c:strCache>
                <c:ptCount val="4"/>
                <c:pt idx="0">
                  <c:v>Foarte bine</c:v>
                </c:pt>
                <c:pt idx="1">
                  <c:v>Parțial valorificată</c:v>
                </c:pt>
                <c:pt idx="2">
                  <c:v>Foarte puțin valorificată</c:v>
                </c:pt>
                <c:pt idx="3">
                  <c:v>Nu am suficiente informații pentru a evalua</c:v>
                </c:pt>
              </c:strCache>
            </c:strRef>
          </c:cat>
          <c:val>
            <c:numRef>
              <c:f>'Q10'!$C$4:$C$7</c:f>
              <c:numCache>
                <c:formatCode>0.00%</c:formatCode>
                <c:ptCount val="4"/>
                <c:pt idx="0">
                  <c:v>0.19354838709677419</c:v>
                </c:pt>
                <c:pt idx="1">
                  <c:v>0.19354838709677419</c:v>
                </c:pt>
                <c:pt idx="2">
                  <c:v>0.54838709677419351</c:v>
                </c:pt>
                <c:pt idx="3">
                  <c:v>6.4516129032258063E-2</c:v>
                </c:pt>
              </c:numCache>
            </c:numRef>
          </c:val>
          <c:extLst xmlns:c16r2="http://schemas.microsoft.com/office/drawing/2015/06/chart">
            <c:ext xmlns:c16="http://schemas.microsoft.com/office/drawing/2014/chart" uri="{C3380CC4-5D6E-409C-BE32-E72D297353CC}">
              <c16:uniqueId val="{00000008-AADD-4BC7-91C5-422ED5D8C79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'Q11'!$B$5:$B$8</c:f>
              <c:strCache>
                <c:ptCount val="4"/>
                <c:pt idx="0">
                  <c:v>Da, este esențial pentru poziționarea strategică a județului</c:v>
                </c:pt>
                <c:pt idx="1">
                  <c:v>Poate reprezenta o oportunitate pe termen mediu</c:v>
                </c:pt>
                <c:pt idx="2">
                  <c:v>Nu este o prioritate pentru județ</c:v>
                </c:pt>
                <c:pt idx="3">
                  <c:v>Nu știu / Nu răspund</c:v>
                </c:pt>
              </c:strCache>
            </c:strRef>
          </c:cat>
          <c:val>
            <c:numRef>
              <c:f>'Q11'!$C$5:$C$8</c:f>
              <c:numCache>
                <c:formatCode>0.00%</c:formatCode>
                <c:ptCount val="4"/>
                <c:pt idx="0">
                  <c:v>0.61290322580645162</c:v>
                </c:pt>
                <c:pt idx="1">
                  <c:v>6.4516129032258063E-2</c:v>
                </c:pt>
                <c:pt idx="2">
                  <c:v>0.25806451612903225</c:v>
                </c:pt>
                <c:pt idx="3">
                  <c:v>6.4516129032258063E-2</c:v>
                </c:pt>
              </c:numCache>
            </c:numRef>
          </c:val>
          <c:extLst xmlns:c16r2="http://schemas.microsoft.com/office/drawing/2015/06/chart">
            <c:ext xmlns:c16="http://schemas.microsoft.com/office/drawing/2014/chart" uri="{C3380CC4-5D6E-409C-BE32-E72D297353CC}">
              <c16:uniqueId val="{00000000-AF80-4B47-9C00-83CEE8A42ECF}"/>
            </c:ext>
          </c:extLst>
        </c:ser>
        <c:dLbls>
          <c:dLblPos val="outEnd"/>
          <c:showLegendKey val="0"/>
          <c:showVal val="1"/>
          <c:showCatName val="0"/>
          <c:showSerName val="0"/>
          <c:showPercent val="0"/>
          <c:showBubbleSize val="0"/>
        </c:dLbls>
        <c:gapWidth val="219"/>
        <c:overlap val="-27"/>
        <c:axId val="1464779680"/>
        <c:axId val="1464780224"/>
      </c:barChart>
      <c:catAx>
        <c:axId val="146477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80224"/>
        <c:crosses val="autoZero"/>
        <c:auto val="1"/>
        <c:lblAlgn val="ctr"/>
        <c:lblOffset val="100"/>
        <c:noMultiLvlLbl val="0"/>
      </c:catAx>
      <c:valAx>
        <c:axId val="1464780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79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'Q12'!$B$4:$B$9</c:f>
              <c:strCache>
                <c:ptCount val="6"/>
                <c:pt idx="0">
                  <c:v>Inițierea și coordonarea investițiilor strategice</c:v>
                </c:pt>
                <c:pt idx="1">
                  <c:v>Asigurarea unei planificări coerente și intersectoriale</c:v>
                </c:pt>
                <c:pt idx="2">
                  <c:v>Parteneriate active cu mediul privat</c:v>
                </c:pt>
                <c:pt idx="3">
                  <c:v>Creșterea capacității instituționale și de atragere de fonduri</c:v>
                </c:pt>
                <c:pt idx="4">
                  <c:v>Promovarea soluțiilor de transport inteligente și inovatoare</c:v>
                </c:pt>
                <c:pt idx="5">
                  <c:v>Altele</c:v>
                </c:pt>
              </c:strCache>
            </c:strRef>
          </c:cat>
          <c:val>
            <c:numRef>
              <c:f>'Q12'!$C$4:$C$9</c:f>
              <c:numCache>
                <c:formatCode>0.00%</c:formatCode>
                <c:ptCount val="6"/>
                <c:pt idx="0">
                  <c:v>0.19387755102040816</c:v>
                </c:pt>
                <c:pt idx="1">
                  <c:v>0.17346938775510204</c:v>
                </c:pt>
                <c:pt idx="2">
                  <c:v>0.21428571428571427</c:v>
                </c:pt>
                <c:pt idx="3">
                  <c:v>0.24489795918367346</c:v>
                </c:pt>
                <c:pt idx="4">
                  <c:v>0.16326530612244897</c:v>
                </c:pt>
                <c:pt idx="5">
                  <c:v>1.020408163265306E-2</c:v>
                </c:pt>
              </c:numCache>
            </c:numRef>
          </c:val>
          <c:extLst xmlns:c16r2="http://schemas.microsoft.com/office/drawing/2015/06/chart">
            <c:ext xmlns:c16="http://schemas.microsoft.com/office/drawing/2014/chart" uri="{C3380CC4-5D6E-409C-BE32-E72D297353CC}">
              <c16:uniqueId val="{00000000-17B9-47C4-87F2-0D96DEBD0886}"/>
            </c:ext>
          </c:extLst>
        </c:ser>
        <c:dLbls>
          <c:dLblPos val="outEnd"/>
          <c:showLegendKey val="0"/>
          <c:showVal val="1"/>
          <c:showCatName val="0"/>
          <c:showSerName val="0"/>
          <c:showPercent val="0"/>
          <c:showBubbleSize val="0"/>
        </c:dLbls>
        <c:gapWidth val="182"/>
        <c:axId val="1464780768"/>
        <c:axId val="1464781312"/>
      </c:barChart>
      <c:catAx>
        <c:axId val="146478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81312"/>
        <c:crosses val="autoZero"/>
        <c:auto val="1"/>
        <c:lblAlgn val="ctr"/>
        <c:lblOffset val="100"/>
        <c:noMultiLvlLbl val="0"/>
      </c:catAx>
      <c:valAx>
        <c:axId val="14647813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80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871047420218135"/>
          <c:y val="5.0925925925925923E-2"/>
          <c:w val="0.51128402730346101"/>
          <c:h val="0.841674686497521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'Q13'!$B$4:$B$7</c:f>
              <c:strCache>
                <c:ptCount val="4"/>
                <c:pt idx="0">
                  <c:v>Da, ar spori atractivitatea economică a zonei</c:v>
                </c:pt>
                <c:pt idx="1">
                  <c:v>Da, cu finanțare publică și/sau parteneriat public-privat</c:v>
                </c:pt>
                <c:pt idx="2">
                  <c:v>Parțial – pentru anumite moduri de transport (transport naval)</c:v>
                </c:pt>
                <c:pt idx="3">
                  <c:v>Nu știu / Nu răspund</c:v>
                </c:pt>
              </c:strCache>
            </c:strRef>
          </c:cat>
          <c:val>
            <c:numRef>
              <c:f>'Q13'!$C$4:$C$7</c:f>
              <c:numCache>
                <c:formatCode>0.00%</c:formatCode>
                <c:ptCount val="4"/>
                <c:pt idx="0">
                  <c:v>0.74193548387096775</c:v>
                </c:pt>
                <c:pt idx="1">
                  <c:v>0.12903225806451613</c:v>
                </c:pt>
                <c:pt idx="2">
                  <c:v>3.2258064516129031E-2</c:v>
                </c:pt>
                <c:pt idx="3">
                  <c:v>9.6774193548387094E-2</c:v>
                </c:pt>
              </c:numCache>
            </c:numRef>
          </c:val>
          <c:extLst xmlns:c16r2="http://schemas.microsoft.com/office/drawing/2015/06/chart">
            <c:ext xmlns:c16="http://schemas.microsoft.com/office/drawing/2014/chart" uri="{C3380CC4-5D6E-409C-BE32-E72D297353CC}">
              <c16:uniqueId val="{00000000-C41B-401C-AC4F-D2E6B45CC3F7}"/>
            </c:ext>
          </c:extLst>
        </c:ser>
        <c:dLbls>
          <c:dLblPos val="outEnd"/>
          <c:showLegendKey val="0"/>
          <c:showVal val="1"/>
          <c:showCatName val="0"/>
          <c:showSerName val="0"/>
          <c:showPercent val="0"/>
          <c:showBubbleSize val="0"/>
        </c:dLbls>
        <c:gapWidth val="182"/>
        <c:axId val="1464766624"/>
        <c:axId val="1464783488"/>
      </c:barChart>
      <c:catAx>
        <c:axId val="146476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83488"/>
        <c:crosses val="autoZero"/>
        <c:auto val="1"/>
        <c:lblAlgn val="ctr"/>
        <c:lblOffset val="100"/>
        <c:noMultiLvlLbl val="0"/>
      </c:catAx>
      <c:valAx>
        <c:axId val="14647834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66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'Q14'!$B$4:$B$8</c:f>
              <c:strCache>
                <c:ptCount val="5"/>
                <c:pt idx="0">
                  <c:v>Lipsa finanțării</c:v>
                </c:pt>
                <c:pt idx="1">
                  <c:v>Lipsa coordonării între instituții</c:v>
                </c:pt>
                <c:pt idx="2">
                  <c:v>Lipsa unei viziuni strategice coerente</c:v>
                </c:pt>
                <c:pt idx="3">
                  <c:v>Infrastructura existentă depășită</c:v>
                </c:pt>
                <c:pt idx="4">
                  <c:v>Altele </c:v>
                </c:pt>
              </c:strCache>
            </c:strRef>
          </c:cat>
          <c:val>
            <c:numRef>
              <c:f>'Q14'!$C$4:$C$8</c:f>
              <c:numCache>
                <c:formatCode>0.00%</c:formatCode>
                <c:ptCount val="5"/>
                <c:pt idx="0">
                  <c:v>0.29729729729729731</c:v>
                </c:pt>
                <c:pt idx="1">
                  <c:v>0.20270270270270271</c:v>
                </c:pt>
                <c:pt idx="2">
                  <c:v>0.29729729729729731</c:v>
                </c:pt>
                <c:pt idx="3">
                  <c:v>0.17567567567567569</c:v>
                </c:pt>
                <c:pt idx="4">
                  <c:v>2.7027027027027029E-2</c:v>
                </c:pt>
              </c:numCache>
            </c:numRef>
          </c:val>
          <c:extLst xmlns:c16r2="http://schemas.microsoft.com/office/drawing/2015/06/chart">
            <c:ext xmlns:c16="http://schemas.microsoft.com/office/drawing/2014/chart" uri="{C3380CC4-5D6E-409C-BE32-E72D297353CC}">
              <c16:uniqueId val="{00000000-6BE2-4936-A00D-60D29E1B930F}"/>
            </c:ext>
          </c:extLst>
        </c:ser>
        <c:dLbls>
          <c:dLblPos val="outEnd"/>
          <c:showLegendKey val="0"/>
          <c:showVal val="1"/>
          <c:showCatName val="0"/>
          <c:showSerName val="0"/>
          <c:showPercent val="0"/>
          <c:showBubbleSize val="0"/>
        </c:dLbls>
        <c:gapWidth val="219"/>
        <c:overlap val="-27"/>
        <c:axId val="1464782944"/>
        <c:axId val="1464767168"/>
      </c:barChart>
      <c:catAx>
        <c:axId val="14647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67168"/>
        <c:crosses val="autoZero"/>
        <c:auto val="1"/>
        <c:lblAlgn val="ctr"/>
        <c:lblOffset val="100"/>
        <c:noMultiLvlLbl val="0"/>
      </c:catAx>
      <c:valAx>
        <c:axId val="1464767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82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455201433154189"/>
          <c:y val="4.3137254901960784E-2"/>
          <c:w val="0.52338974294879803"/>
          <c:h val="0.8713268488497761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'Q15'!$C$4:$C$11</c:f>
              <c:strCache>
                <c:ptCount val="8"/>
                <c:pt idx="0">
                  <c:v>Rutier ↔ Naval</c:v>
                </c:pt>
                <c:pt idx="1">
                  <c:v>Naval ↔ Feroviar</c:v>
                </c:pt>
                <c:pt idx="2">
                  <c:v>Rutier ↔ Aerian (Aeroport Tulcea)</c:v>
                </c:pt>
                <c:pt idx="3">
                  <c:v>Feroviar ↔ Aerian</c:v>
                </c:pt>
                <c:pt idx="4">
                  <c:v>Lipsă terminale intermodale / hub logistic regional</c:v>
                </c:pt>
                <c:pt idx="5">
                  <c:v>Rutier ↔ Transport turistic/Delta (acces la pontoane, porturi)</c:v>
                </c:pt>
                <c:pt idx="6">
                  <c:v>Transport public local ↔ Alte moduri de transport</c:v>
                </c:pt>
                <c:pt idx="7">
                  <c:v>Nu cunosc / Nu este relevant</c:v>
                </c:pt>
              </c:strCache>
            </c:strRef>
          </c:cat>
          <c:val>
            <c:numRef>
              <c:f>'Q15'!$D$4:$D$11</c:f>
              <c:numCache>
                <c:formatCode>0.00%</c:formatCode>
                <c:ptCount val="8"/>
                <c:pt idx="0">
                  <c:v>0.11764705882352941</c:v>
                </c:pt>
                <c:pt idx="1">
                  <c:v>0.18823529411764706</c:v>
                </c:pt>
                <c:pt idx="2">
                  <c:v>0.17647058823529413</c:v>
                </c:pt>
                <c:pt idx="3">
                  <c:v>0.16470588235294117</c:v>
                </c:pt>
                <c:pt idx="4">
                  <c:v>0.12941176470588237</c:v>
                </c:pt>
                <c:pt idx="5">
                  <c:v>0.12941176470588237</c:v>
                </c:pt>
                <c:pt idx="6">
                  <c:v>7.0588235294117646E-2</c:v>
                </c:pt>
                <c:pt idx="7">
                  <c:v>2.3529411764705882E-2</c:v>
                </c:pt>
              </c:numCache>
            </c:numRef>
          </c:val>
          <c:extLst xmlns:c16r2="http://schemas.microsoft.com/office/drawing/2015/06/chart">
            <c:ext xmlns:c16="http://schemas.microsoft.com/office/drawing/2014/chart" uri="{C3380CC4-5D6E-409C-BE32-E72D297353CC}">
              <c16:uniqueId val="{00000000-BA17-4782-9E65-FDC724CD11B0}"/>
            </c:ext>
          </c:extLst>
        </c:ser>
        <c:dLbls>
          <c:dLblPos val="outEnd"/>
          <c:showLegendKey val="0"/>
          <c:showVal val="1"/>
          <c:showCatName val="0"/>
          <c:showSerName val="0"/>
          <c:showPercent val="0"/>
          <c:showBubbleSize val="0"/>
        </c:dLbls>
        <c:gapWidth val="182"/>
        <c:axId val="1556888576"/>
        <c:axId val="1556914688"/>
      </c:barChart>
      <c:catAx>
        <c:axId val="155688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556914688"/>
        <c:crosses val="autoZero"/>
        <c:auto val="1"/>
        <c:lblAlgn val="ctr"/>
        <c:lblOffset val="100"/>
        <c:noMultiLvlLbl val="0"/>
      </c:catAx>
      <c:valAx>
        <c:axId val="15569146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556888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'Q16'!$B$4:$B$8</c:f>
              <c:strCache>
                <c:ptCount val="5"/>
                <c:pt idx="0">
                  <c:v>Ucraina – Isaccea</c:v>
                </c:pt>
                <c:pt idx="1">
                  <c:v>Republica Moldova – Galați</c:v>
                </c:pt>
                <c:pt idx="2">
                  <c:v>Nave maritime – Port Sulina</c:v>
                </c:pt>
                <c:pt idx="3">
                  <c:v>Nu există/ Nu cunosc</c:v>
                </c:pt>
                <c:pt idx="4">
                  <c:v>Altele </c:v>
                </c:pt>
              </c:strCache>
            </c:strRef>
          </c:cat>
          <c:val>
            <c:numRef>
              <c:f>'Q16'!$C$4:$C$8</c:f>
              <c:numCache>
                <c:formatCode>0.00%</c:formatCode>
                <c:ptCount val="5"/>
                <c:pt idx="0">
                  <c:v>0.37735849056603776</c:v>
                </c:pt>
                <c:pt idx="1">
                  <c:v>0.16981132075471697</c:v>
                </c:pt>
                <c:pt idx="2">
                  <c:v>0.30188679245283018</c:v>
                </c:pt>
                <c:pt idx="3">
                  <c:v>0.11320754716981132</c:v>
                </c:pt>
                <c:pt idx="4">
                  <c:v>3.7735849056603772E-2</c:v>
                </c:pt>
              </c:numCache>
            </c:numRef>
          </c:val>
          <c:extLst xmlns:c16r2="http://schemas.microsoft.com/office/drawing/2015/06/chart">
            <c:ext xmlns:c16="http://schemas.microsoft.com/office/drawing/2014/chart" uri="{C3380CC4-5D6E-409C-BE32-E72D297353CC}">
              <c16:uniqueId val="{00000000-7EC5-44AB-A527-23395B56B391}"/>
            </c:ext>
          </c:extLst>
        </c:ser>
        <c:dLbls>
          <c:dLblPos val="outEnd"/>
          <c:showLegendKey val="0"/>
          <c:showVal val="1"/>
          <c:showCatName val="0"/>
          <c:showSerName val="0"/>
          <c:showPercent val="0"/>
          <c:showBubbleSize val="0"/>
        </c:dLbls>
        <c:gapWidth val="182"/>
        <c:axId val="972655424"/>
        <c:axId val="1614444016"/>
      </c:barChart>
      <c:catAx>
        <c:axId val="97265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614444016"/>
        <c:crosses val="autoZero"/>
        <c:auto val="1"/>
        <c:lblAlgn val="ctr"/>
        <c:lblOffset val="100"/>
        <c:noMultiLvlLbl val="0"/>
      </c:catAx>
      <c:valAx>
        <c:axId val="16144440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972655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'Q17'!$B$3:$B$6</c:f>
              <c:strCache>
                <c:ptCount val="4"/>
                <c:pt idx="0">
                  <c:v>Da, este un obstacol major pentru investiții și dezvoltare</c:v>
                </c:pt>
                <c:pt idx="1">
                  <c:v>Parțial – dar există alte probleme mai stringente</c:v>
                </c:pt>
                <c:pt idx="2">
                  <c:v>Nu – alte tipuri de infrastructură sunt prioritare</c:v>
                </c:pt>
                <c:pt idx="3">
                  <c:v>Nu știu / Nu răspund</c:v>
                </c:pt>
              </c:strCache>
            </c:strRef>
          </c:cat>
          <c:val>
            <c:numRef>
              <c:f>'Q17'!$C$3:$C$6</c:f>
              <c:numCache>
                <c:formatCode>0.00%</c:formatCode>
                <c:ptCount val="4"/>
                <c:pt idx="0">
                  <c:v>0.67741935483870963</c:v>
                </c:pt>
                <c:pt idx="1">
                  <c:v>0.12903225806451613</c:v>
                </c:pt>
                <c:pt idx="2">
                  <c:v>6.4516129032258063E-2</c:v>
                </c:pt>
                <c:pt idx="3">
                  <c:v>0.12903225806451613</c:v>
                </c:pt>
              </c:numCache>
            </c:numRef>
          </c:val>
          <c:extLst xmlns:c16r2="http://schemas.microsoft.com/office/drawing/2015/06/chart">
            <c:ext xmlns:c16="http://schemas.microsoft.com/office/drawing/2014/chart" uri="{C3380CC4-5D6E-409C-BE32-E72D297353CC}">
              <c16:uniqueId val="{00000000-1CB8-49FE-A0E5-D5CC0402AFC1}"/>
            </c:ext>
          </c:extLst>
        </c:ser>
        <c:dLbls>
          <c:dLblPos val="outEnd"/>
          <c:showLegendKey val="0"/>
          <c:showVal val="1"/>
          <c:showCatName val="0"/>
          <c:showSerName val="0"/>
          <c:showPercent val="0"/>
          <c:showBubbleSize val="0"/>
        </c:dLbls>
        <c:gapWidth val="219"/>
        <c:overlap val="-27"/>
        <c:axId val="1614454352"/>
        <c:axId val="1614440208"/>
      </c:barChart>
      <c:catAx>
        <c:axId val="16144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614440208"/>
        <c:crosses val="autoZero"/>
        <c:auto val="1"/>
        <c:lblAlgn val="ctr"/>
        <c:lblOffset val="100"/>
        <c:noMultiLvlLbl val="0"/>
      </c:catAx>
      <c:valAx>
        <c:axId val="1614440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614454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146651415654752E-2"/>
          <c:y val="2.5151941558635968E-2"/>
          <c:w val="0.81879619133211456"/>
          <c:h val="0.5940943521015974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FA3-4A3B-AD2B-1FF332C7E36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FA3-4A3B-AD2B-1FF332C7E36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FA3-4A3B-AD2B-1FF332C7E36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rebuchet MS" panose="020B0603020202020204" pitchFamily="34" charset="0"/>
                    <a:ea typeface="+mn-ea"/>
                    <a:cs typeface="+mn-cs"/>
                  </a:defRPr>
                </a:pPr>
                <a:endParaRPr lang="ro-R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'2007-2013'!$H$9:$H$11</c:f>
              <c:strCache>
                <c:ptCount val="3"/>
                <c:pt idx="0">
                  <c:v>Programul Operational Regional 2007-2013
</c:v>
                </c:pt>
                <c:pt idx="1">
                  <c:v>Programului Operațional Sectorial Transport 2007-2013</c:v>
                </c:pt>
                <c:pt idx="2">
                  <c:v>CNI</c:v>
                </c:pt>
              </c:strCache>
            </c:strRef>
          </c:cat>
          <c:val>
            <c:numRef>
              <c:f>'2007-2013'!$J$9:$J$11</c:f>
              <c:numCache>
                <c:formatCode>0.00%</c:formatCode>
                <c:ptCount val="3"/>
                <c:pt idx="0">
                  <c:v>0.71438189977094213</c:v>
                </c:pt>
                <c:pt idx="1">
                  <c:v>0.28211762873419016</c:v>
                </c:pt>
                <c:pt idx="2">
                  <c:v>3.500471494867687E-3</c:v>
                </c:pt>
              </c:numCache>
            </c:numRef>
          </c:val>
          <c:extLst xmlns:c16r2="http://schemas.microsoft.com/office/drawing/2015/06/chart">
            <c:ext xmlns:c16="http://schemas.microsoft.com/office/drawing/2014/chart" uri="{C3380CC4-5D6E-409C-BE32-E72D297353CC}">
              <c16:uniqueId val="{00000006-9FA3-4A3B-AD2B-1FF332C7E366}"/>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3352873692344879E-2"/>
          <c:y val="0.61207340008872912"/>
          <c:w val="0.8132942526153103"/>
          <c:h val="0.235835345158419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o-R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114427860696513E-2"/>
          <c:y val="0.11342592592592593"/>
          <c:w val="0.4154228855721393"/>
          <c:h val="0.77314814814814814"/>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08-4395-B1EF-96146D1624F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08-4395-B1EF-96146D1624F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08-4395-B1EF-96146D1624F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08-4395-B1EF-96146D1624F2}"/>
              </c:ext>
            </c:extLst>
          </c:dPt>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'Q18'!$D$4:$D$7</c:f>
              <c:strCache>
                <c:ptCount val="4"/>
                <c:pt idx="0">
                  <c:v>Foarte mare – pot sprijini transport rapid (ex: medicamente, mostre), monitorizarea infrastructurii și intervenții de urgență în zone izolate.</c:v>
                </c:pt>
                <c:pt idx="1">
                  <c:v>Medie – pot fi utile în anumite domenii (ex: turism, agricultură, livrări)</c:v>
                </c:pt>
                <c:pt idx="2">
                  <c:v>Redusă – nu există suficientă infrastructură/reglementare pentru implementare</c:v>
                </c:pt>
                <c:pt idx="3">
                  <c:v>Nu cunosc / Nu consider relevant</c:v>
                </c:pt>
              </c:strCache>
            </c:strRef>
          </c:cat>
          <c:val>
            <c:numRef>
              <c:f>'Q18'!$E$4:$E$7</c:f>
              <c:numCache>
                <c:formatCode>0.00%</c:formatCode>
                <c:ptCount val="4"/>
                <c:pt idx="0">
                  <c:v>0.32258064516129031</c:v>
                </c:pt>
                <c:pt idx="1">
                  <c:v>0.19354838709677419</c:v>
                </c:pt>
                <c:pt idx="2">
                  <c:v>0.22580645161290322</c:v>
                </c:pt>
                <c:pt idx="3">
                  <c:v>0.25806451612903225</c:v>
                </c:pt>
              </c:numCache>
            </c:numRef>
          </c:val>
          <c:extLst xmlns:c16r2="http://schemas.microsoft.com/office/drawing/2015/06/chart">
            <c:ext xmlns:c16="http://schemas.microsoft.com/office/drawing/2014/chart" uri="{C3380CC4-5D6E-409C-BE32-E72D297353CC}">
              <c16:uniqueId val="{00000008-5C08-4395-B1EF-96146D1624F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3096662357503821"/>
          <c:y val="3.4689413823272204E-3"/>
          <c:w val="0.45236670975829513"/>
          <c:h val="0.996531058617672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866956285636709E-2"/>
          <c:y val="0"/>
          <c:w val="0.94026608742872653"/>
          <c:h val="0.58054840380414796"/>
        </c:manualLayout>
      </c:layout>
      <c:barChart>
        <c:barDir val="col"/>
        <c:grouping val="clustered"/>
        <c:varyColors val="0"/>
        <c:ser>
          <c:idx val="0"/>
          <c:order val="0"/>
          <c:tx>
            <c:strRef>
              <c:f>suprafață!$C$3</c:f>
              <c:strCache>
                <c:ptCount val="1"/>
                <c:pt idx="0">
                  <c:v>arii naturale protejate de interes național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suprafață!$D$3</c:f>
              <c:numCache>
                <c:formatCode>0.00%</c:formatCode>
                <c:ptCount val="1"/>
                <c:pt idx="0">
                  <c:v>2.4503176844334628E-2</c:v>
                </c:pt>
              </c:numCache>
            </c:numRef>
          </c:val>
          <c:extLst xmlns:c16r2="http://schemas.microsoft.com/office/drawing/2015/06/chart">
            <c:ext xmlns:c16="http://schemas.microsoft.com/office/drawing/2014/chart" uri="{C3380CC4-5D6E-409C-BE32-E72D297353CC}">
              <c16:uniqueId val="{00000000-22BD-4CF4-A950-57096A91D188}"/>
            </c:ext>
          </c:extLst>
        </c:ser>
        <c:ser>
          <c:idx val="1"/>
          <c:order val="1"/>
          <c:tx>
            <c:strRef>
              <c:f>suprafață!$C$4</c:f>
              <c:strCache>
                <c:ptCount val="1"/>
                <c:pt idx="0">
                  <c:v>arii naturale protejate de interes internațional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suprafață!$D$4</c:f>
              <c:numCache>
                <c:formatCode>0.00%</c:formatCode>
                <c:ptCount val="1"/>
                <c:pt idx="0">
                  <c:v>0.71395693611013056</c:v>
                </c:pt>
              </c:numCache>
            </c:numRef>
          </c:val>
          <c:extLst xmlns:c16r2="http://schemas.microsoft.com/office/drawing/2015/06/chart">
            <c:ext xmlns:c16="http://schemas.microsoft.com/office/drawing/2014/chart" uri="{C3380CC4-5D6E-409C-BE32-E72D297353CC}">
              <c16:uniqueId val="{00000001-22BD-4CF4-A950-57096A91D188}"/>
            </c:ext>
          </c:extLst>
        </c:ser>
        <c:ser>
          <c:idx val="2"/>
          <c:order val="2"/>
          <c:tx>
            <c:strRef>
              <c:f>suprafață!$C$5</c:f>
              <c:strCache>
                <c:ptCount val="1"/>
                <c:pt idx="0">
                  <c:v>situri de importanță comunitară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suprafață!$D$5</c:f>
              <c:numCache>
                <c:formatCode>0.00%</c:formatCode>
                <c:ptCount val="1"/>
                <c:pt idx="0">
                  <c:v>0.62687139663489821</c:v>
                </c:pt>
              </c:numCache>
            </c:numRef>
          </c:val>
          <c:extLst xmlns:c16r2="http://schemas.microsoft.com/office/drawing/2015/06/chart">
            <c:ext xmlns:c16="http://schemas.microsoft.com/office/drawing/2014/chart" uri="{C3380CC4-5D6E-409C-BE32-E72D297353CC}">
              <c16:uniqueId val="{00000002-22BD-4CF4-A950-57096A91D188}"/>
            </c:ext>
          </c:extLst>
        </c:ser>
        <c:ser>
          <c:idx val="3"/>
          <c:order val="3"/>
          <c:tx>
            <c:strRef>
              <c:f>suprafață!$C$6</c:f>
              <c:strCache>
                <c:ptCount val="1"/>
                <c:pt idx="0">
                  <c:v>arii de protecție specială avifaunistică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suprafață!$D$6</c:f>
              <c:numCache>
                <c:formatCode>0.00%</c:formatCode>
                <c:ptCount val="1"/>
                <c:pt idx="0">
                  <c:v>0.72825626544299327</c:v>
                </c:pt>
              </c:numCache>
            </c:numRef>
          </c:val>
          <c:extLst xmlns:c16r2="http://schemas.microsoft.com/office/drawing/2015/06/chart">
            <c:ext xmlns:c16="http://schemas.microsoft.com/office/drawing/2014/chart" uri="{C3380CC4-5D6E-409C-BE32-E72D297353CC}">
              <c16:uniqueId val="{00000003-22BD-4CF4-A950-57096A91D188}"/>
            </c:ext>
          </c:extLst>
        </c:ser>
        <c:dLbls>
          <c:dLblPos val="outEnd"/>
          <c:showLegendKey val="0"/>
          <c:showVal val="1"/>
          <c:showCatName val="0"/>
          <c:showSerName val="0"/>
          <c:showPercent val="0"/>
          <c:showBubbleSize val="0"/>
        </c:dLbls>
        <c:gapWidth val="219"/>
        <c:overlap val="-27"/>
        <c:axId val="972649440"/>
        <c:axId val="972654336"/>
      </c:barChart>
      <c:catAx>
        <c:axId val="972649440"/>
        <c:scaling>
          <c:orientation val="minMax"/>
        </c:scaling>
        <c:delete val="1"/>
        <c:axPos val="b"/>
        <c:numFmt formatCode="General" sourceLinked="1"/>
        <c:majorTickMark val="none"/>
        <c:minorTickMark val="none"/>
        <c:tickLblPos val="nextTo"/>
        <c:crossAx val="972654336"/>
        <c:crosses val="autoZero"/>
        <c:auto val="1"/>
        <c:lblAlgn val="ctr"/>
        <c:lblOffset val="100"/>
        <c:noMultiLvlLbl val="0"/>
      </c:catAx>
      <c:valAx>
        <c:axId val="972654336"/>
        <c:scaling>
          <c:orientation val="minMax"/>
        </c:scaling>
        <c:delete val="1"/>
        <c:axPos val="l"/>
        <c:numFmt formatCode="0.00%" sourceLinked="1"/>
        <c:majorTickMark val="none"/>
        <c:minorTickMark val="none"/>
        <c:tickLblPos val="nextTo"/>
        <c:crossAx val="972649440"/>
        <c:crosses val="autoZero"/>
        <c:crossBetween val="between"/>
      </c:valAx>
      <c:spPr>
        <a:noFill/>
        <a:ln w="25400">
          <a:noFill/>
        </a:ln>
        <a:effectLst/>
      </c:spPr>
    </c:plotArea>
    <c:legend>
      <c:legendPos val="b"/>
      <c:layout>
        <c:manualLayout>
          <c:xMode val="edge"/>
          <c:yMode val="edge"/>
          <c:x val="0"/>
          <c:y val="0.65830960249139847"/>
          <c:w val="0.98480993000874906"/>
          <c:h val="0.31391184910176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ro-RO"/>
        </a:p>
      </c:txPr>
    </c:legend>
    <c:plotVisOnly val="1"/>
    <c:dispBlanksAs val="gap"/>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ro-R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51860225392617E-2"/>
          <c:y val="0"/>
          <c:w val="0.3777504049617561"/>
          <c:h val="1"/>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FEB-45E1-9E71-37C6D4C3820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FEB-45E1-9E71-37C6D4C3820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FEB-45E1-9E71-37C6D4C3820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FEB-45E1-9E71-37C6D4C3820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FEB-45E1-9E71-37C6D4C3820E}"/>
              </c:ext>
            </c:extLst>
          </c:dPt>
          <c:dLbls>
            <c:dLbl>
              <c:idx val="3"/>
              <c:layout>
                <c:manualLayout>
                  <c:x val="-4.0336901094716807E-17"/>
                  <c:y val="-2.6016260162601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DFEB-45E1-9E71-37C6D4C3820E}"/>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'Q1'!$B$3:$B$7</c:f>
              <c:strCache>
                <c:ptCount val="5"/>
                <c:pt idx="0">
                  <c:v>Administrație publică locală / județeană</c:v>
                </c:pt>
                <c:pt idx="1">
                  <c:v>ONG / think-tank cu activitate în mobilitate, mediu, sustenabilitate</c:v>
                </c:pt>
                <c:pt idx="2">
                  <c:v>Operator economic (firmă de transport, producție, servicii etc)</c:v>
                </c:pt>
                <c:pt idx="3">
                  <c:v>Organizație profesională / patronat / asociație de profil</c:v>
                </c:pt>
                <c:pt idx="4">
                  <c:v>Alt tip</c:v>
                </c:pt>
              </c:strCache>
            </c:strRef>
          </c:cat>
          <c:val>
            <c:numRef>
              <c:f>'Q1'!$C$3:$C$7</c:f>
              <c:numCache>
                <c:formatCode>0.00%</c:formatCode>
                <c:ptCount val="5"/>
                <c:pt idx="0">
                  <c:v>0.55882352941176472</c:v>
                </c:pt>
                <c:pt idx="1">
                  <c:v>0.11764705882352941</c:v>
                </c:pt>
                <c:pt idx="2">
                  <c:v>0.23529411764705882</c:v>
                </c:pt>
                <c:pt idx="3">
                  <c:v>2.9411764705882353E-2</c:v>
                </c:pt>
                <c:pt idx="4">
                  <c:v>5.8823529411764705E-2</c:v>
                </c:pt>
              </c:numCache>
            </c:numRef>
          </c:val>
          <c:extLst xmlns:c16r2="http://schemas.microsoft.com/office/drawing/2015/06/chart">
            <c:ext xmlns:c16="http://schemas.microsoft.com/office/drawing/2014/chart" uri="{C3380CC4-5D6E-409C-BE32-E72D297353CC}">
              <c16:uniqueId val="{0000000A-DFEB-45E1-9E71-37C6D4C382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1045104510451045"/>
          <c:y val="2.0382587311721167E-2"/>
          <c:w val="0.47634763476347636"/>
          <c:h val="0.977252843394575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'Q2'!$B$4:$B$9</c:f>
              <c:strCache>
                <c:ptCount val="6"/>
                <c:pt idx="0">
                  <c:v>Județul în ansamblu</c:v>
                </c:pt>
                <c:pt idx="1">
                  <c:v>Municipiul Tulcea</c:v>
                </c:pt>
                <c:pt idx="2">
                  <c:v>Nordul județului (Isaccea, Măcin etc.)</c:v>
                </c:pt>
                <c:pt idx="3">
                  <c:v>Sudul județului (Babadag, Baia etc.)</c:v>
                </c:pt>
                <c:pt idx="4">
                  <c:v>Zona Delta Dunării</c:v>
                </c:pt>
                <c:pt idx="5">
                  <c:v>Nu se aplică / Altă zonă</c:v>
                </c:pt>
              </c:strCache>
            </c:strRef>
          </c:cat>
          <c:val>
            <c:numRef>
              <c:f>'Q2'!$C$4:$C$9</c:f>
              <c:numCache>
                <c:formatCode>0.00%</c:formatCode>
                <c:ptCount val="6"/>
                <c:pt idx="0">
                  <c:v>0.2</c:v>
                </c:pt>
                <c:pt idx="1">
                  <c:v>0.34285714285714286</c:v>
                </c:pt>
                <c:pt idx="2">
                  <c:v>8.5714285714285715E-2</c:v>
                </c:pt>
                <c:pt idx="3">
                  <c:v>8.5714285714285715E-2</c:v>
                </c:pt>
                <c:pt idx="4">
                  <c:v>0.22857142857142856</c:v>
                </c:pt>
                <c:pt idx="5">
                  <c:v>5.7142857142857141E-2</c:v>
                </c:pt>
              </c:numCache>
            </c:numRef>
          </c:val>
          <c:extLst xmlns:c16r2="http://schemas.microsoft.com/office/drawing/2015/06/chart">
            <c:ext xmlns:c16="http://schemas.microsoft.com/office/drawing/2014/chart" uri="{C3380CC4-5D6E-409C-BE32-E72D297353CC}">
              <c16:uniqueId val="{00000000-F4E8-47F6-97D8-0E4DCE7C196A}"/>
            </c:ext>
          </c:extLst>
        </c:ser>
        <c:dLbls>
          <c:showLegendKey val="0"/>
          <c:showVal val="1"/>
          <c:showCatName val="0"/>
          <c:showSerName val="0"/>
          <c:showPercent val="0"/>
          <c:showBubbleSize val="0"/>
        </c:dLbls>
        <c:gapWidth val="150"/>
        <c:overlap val="-25"/>
        <c:axId val="972655968"/>
        <c:axId val="1464737248"/>
      </c:barChart>
      <c:catAx>
        <c:axId val="9726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37248"/>
        <c:crosses val="autoZero"/>
        <c:auto val="1"/>
        <c:lblAlgn val="ctr"/>
        <c:lblOffset val="100"/>
        <c:noMultiLvlLbl val="0"/>
      </c:catAx>
      <c:valAx>
        <c:axId val="1464737248"/>
        <c:scaling>
          <c:orientation val="minMax"/>
        </c:scaling>
        <c:delete val="1"/>
        <c:axPos val="l"/>
        <c:numFmt formatCode="0.00%" sourceLinked="1"/>
        <c:majorTickMark val="none"/>
        <c:minorTickMark val="none"/>
        <c:tickLblPos val="nextTo"/>
        <c:crossAx val="972655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'Q3'!$B$4:$B$10</c:f>
              <c:strCache>
                <c:ptCount val="7"/>
                <c:pt idx="0">
                  <c:v>Transport rutier de marfă</c:v>
                </c:pt>
                <c:pt idx="1">
                  <c:v>Transport rutier de persoane ( inclusiv transport public local)</c:v>
                </c:pt>
                <c:pt idx="2">
                  <c:v>Transport naval (fluvial / maritim)</c:v>
                </c:pt>
                <c:pt idx="3">
                  <c:v>Transport feroviar</c:v>
                </c:pt>
                <c:pt idx="4">
                  <c:v>Transport aerian (zboruri locale/charter)</c:v>
                </c:pt>
                <c:pt idx="5">
                  <c:v>Transport turistic (croaziere, curse regulate spre Deltă)</c:v>
                </c:pt>
                <c:pt idx="6">
                  <c:v>Transport specializat (marfă periculoasă, agabaritic)</c:v>
                </c:pt>
              </c:strCache>
            </c:strRef>
          </c:cat>
          <c:val>
            <c:numRef>
              <c:f>'Q3'!$C$4:$C$10</c:f>
              <c:numCache>
                <c:formatCode>0.00%</c:formatCode>
                <c:ptCount val="7"/>
                <c:pt idx="0">
                  <c:v>0.22105263157894736</c:v>
                </c:pt>
                <c:pt idx="1">
                  <c:v>0.22105263157894736</c:v>
                </c:pt>
                <c:pt idx="2">
                  <c:v>0.23157894736842105</c:v>
                </c:pt>
                <c:pt idx="3">
                  <c:v>3.1578947368421054E-2</c:v>
                </c:pt>
                <c:pt idx="4">
                  <c:v>2.1052631578947368E-2</c:v>
                </c:pt>
                <c:pt idx="5">
                  <c:v>0.23157894736842105</c:v>
                </c:pt>
                <c:pt idx="6">
                  <c:v>4.2105263157894736E-2</c:v>
                </c:pt>
              </c:numCache>
            </c:numRef>
          </c:val>
          <c:extLst xmlns:c16r2="http://schemas.microsoft.com/office/drawing/2015/06/chart">
            <c:ext xmlns:c16="http://schemas.microsoft.com/office/drawing/2014/chart" uri="{C3380CC4-5D6E-409C-BE32-E72D297353CC}">
              <c16:uniqueId val="{00000000-F865-46E8-88E3-FD7ACCED3A7A}"/>
            </c:ext>
          </c:extLst>
        </c:ser>
        <c:dLbls>
          <c:dLblPos val="outEnd"/>
          <c:showLegendKey val="0"/>
          <c:showVal val="1"/>
          <c:showCatName val="0"/>
          <c:showSerName val="0"/>
          <c:showPercent val="0"/>
          <c:showBubbleSize val="0"/>
        </c:dLbls>
        <c:gapWidth val="182"/>
        <c:axId val="1464724736"/>
        <c:axId val="1464741600"/>
      </c:barChart>
      <c:catAx>
        <c:axId val="146472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41600"/>
        <c:crosses val="autoZero"/>
        <c:auto val="1"/>
        <c:lblAlgn val="ctr"/>
        <c:lblOffset val="100"/>
        <c:noMultiLvlLbl val="0"/>
      </c:catAx>
      <c:valAx>
        <c:axId val="14647416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24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'Q4'!$B$5:$B$14</c:f>
              <c:strCache>
                <c:ptCount val="10"/>
                <c:pt idx="0">
                  <c:v>Industrie (ex: șantier naval, metalurgie, materiale de construcții)</c:v>
                </c:pt>
                <c:pt idx="1">
                  <c:v>Energie (ex: producție, distribuție)</c:v>
                </c:pt>
                <c:pt idx="2">
                  <c:v>Servicii (non-turism</c:v>
                </c:pt>
                <c:pt idx="3">
                  <c:v>Administrație publică</c:v>
                </c:pt>
                <c:pt idx="4">
                  <c:v>Agricultură / pescuit</c:v>
                </c:pt>
                <c:pt idx="5">
                  <c:v>Turism</c:v>
                </c:pt>
                <c:pt idx="6">
                  <c:v>Industrie alimentară</c:v>
                </c:pt>
                <c:pt idx="7">
                  <c:v>Comerț / distribuție</c:v>
                </c:pt>
                <c:pt idx="8">
                  <c:v>Construcții</c:v>
                </c:pt>
                <c:pt idx="9">
                  <c:v>Altele</c:v>
                </c:pt>
              </c:strCache>
            </c:strRef>
          </c:cat>
          <c:val>
            <c:numRef>
              <c:f>'Q4'!$C$5:$C$14</c:f>
              <c:numCache>
                <c:formatCode>0.00%</c:formatCode>
                <c:ptCount val="10"/>
                <c:pt idx="0">
                  <c:v>0.14285714285714285</c:v>
                </c:pt>
                <c:pt idx="1">
                  <c:v>9.5238095238095247E-3</c:v>
                </c:pt>
                <c:pt idx="2">
                  <c:v>7.6190476190476197E-2</c:v>
                </c:pt>
                <c:pt idx="3">
                  <c:v>3.8095238095238099E-2</c:v>
                </c:pt>
                <c:pt idx="4">
                  <c:v>0.16190476190476191</c:v>
                </c:pt>
                <c:pt idx="5">
                  <c:v>0.21904761904761905</c:v>
                </c:pt>
                <c:pt idx="6">
                  <c:v>2.8571428571428571E-2</c:v>
                </c:pt>
                <c:pt idx="7">
                  <c:v>0.19047619047619047</c:v>
                </c:pt>
                <c:pt idx="8">
                  <c:v>0.12380952380952381</c:v>
                </c:pt>
                <c:pt idx="9">
                  <c:v>9.5238095238095247E-3</c:v>
                </c:pt>
              </c:numCache>
            </c:numRef>
          </c:val>
          <c:extLst xmlns:c16r2="http://schemas.microsoft.com/office/drawing/2015/06/chart">
            <c:ext xmlns:c16="http://schemas.microsoft.com/office/drawing/2014/chart" uri="{C3380CC4-5D6E-409C-BE32-E72D297353CC}">
              <c16:uniqueId val="{00000000-E936-4330-BDB7-33C9785FA599}"/>
            </c:ext>
          </c:extLst>
        </c:ser>
        <c:dLbls>
          <c:dLblPos val="outEnd"/>
          <c:showLegendKey val="0"/>
          <c:showVal val="1"/>
          <c:showCatName val="0"/>
          <c:showSerName val="0"/>
          <c:showPercent val="0"/>
          <c:showBubbleSize val="0"/>
        </c:dLbls>
        <c:gapWidth val="182"/>
        <c:axId val="1464731808"/>
        <c:axId val="1464732352"/>
      </c:barChart>
      <c:catAx>
        <c:axId val="146473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32352"/>
        <c:crosses val="autoZero"/>
        <c:auto val="1"/>
        <c:lblAlgn val="ctr"/>
        <c:lblOffset val="100"/>
        <c:noMultiLvlLbl val="0"/>
      </c:catAx>
      <c:valAx>
        <c:axId val="14647323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31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041603435934147"/>
          <c:y val="5.0925925925925923E-2"/>
          <c:w val="0.50514149367692673"/>
          <c:h val="0.8559572761738115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'Q5'!$B$4:$B$15</c:f>
              <c:strCache>
                <c:ptCount val="12"/>
                <c:pt idx="0">
                  <c:v>Infrastructură rutieră degradată</c:v>
                </c:pt>
                <c:pt idx="1">
                  <c:v>Trafic aglomerat / Congestie</c:v>
                </c:pt>
                <c:pt idx="2">
                  <c:v>Acces redus la rețeaua de transport public</c:v>
                </c:pt>
                <c:pt idx="3">
                  <c:v>Lipsa conectivității între zone izolate și centre urbane</c:v>
                </c:pt>
                <c:pt idx="4">
                  <c:v>Lipsa intermodalității (rutier + naval + feroviar+aerian)</c:v>
                </c:pt>
                <c:pt idx="5">
                  <c:v>Timp mare de călătorie / tranzit</c:v>
                </c:pt>
                <c:pt idx="6">
                  <c:v>Lipsa investițiilor în transport verde / sustenabil</c:v>
                </c:pt>
                <c:pt idx="7">
                  <c:v>Incoerență în planificarea teritorială și conectivitate</c:v>
                </c:pt>
                <c:pt idx="8">
                  <c:v>Lipsa datelor relevante și a instrumentelor de analiză pentru decizii strategice</c:v>
                </c:pt>
                <c:pt idx="9">
                  <c:v>Deficiențe în colaborarea interinstituțională</c:v>
                </c:pt>
                <c:pt idx="10">
                  <c:v>Siguranța rutieră / numărul de accidente</c:v>
                </c:pt>
                <c:pt idx="11">
                  <c:v>Altele </c:v>
                </c:pt>
              </c:strCache>
            </c:strRef>
          </c:cat>
          <c:val>
            <c:numRef>
              <c:f>'Q5'!$C$4:$C$15</c:f>
              <c:numCache>
                <c:formatCode>0.00%</c:formatCode>
                <c:ptCount val="12"/>
                <c:pt idx="0">
                  <c:v>0.11864406779661017</c:v>
                </c:pt>
                <c:pt idx="1">
                  <c:v>0.16101694915254236</c:v>
                </c:pt>
                <c:pt idx="2">
                  <c:v>8.4745762711864403E-2</c:v>
                </c:pt>
                <c:pt idx="3">
                  <c:v>0.1271186440677966</c:v>
                </c:pt>
                <c:pt idx="4">
                  <c:v>0.11016949152542373</c:v>
                </c:pt>
                <c:pt idx="5">
                  <c:v>0.10169491525423729</c:v>
                </c:pt>
                <c:pt idx="6">
                  <c:v>0.11864406779661017</c:v>
                </c:pt>
                <c:pt idx="7">
                  <c:v>2.5423728813559324E-2</c:v>
                </c:pt>
                <c:pt idx="8">
                  <c:v>4.2372881355932202E-2</c:v>
                </c:pt>
                <c:pt idx="9">
                  <c:v>3.3898305084745763E-2</c:v>
                </c:pt>
                <c:pt idx="10">
                  <c:v>6.7796610169491525E-2</c:v>
                </c:pt>
                <c:pt idx="11">
                  <c:v>8.4745762711864406E-3</c:v>
                </c:pt>
              </c:numCache>
            </c:numRef>
          </c:val>
          <c:extLst xmlns:c16r2="http://schemas.microsoft.com/office/drawing/2015/06/chart">
            <c:ext xmlns:c16="http://schemas.microsoft.com/office/drawing/2014/chart" uri="{C3380CC4-5D6E-409C-BE32-E72D297353CC}">
              <c16:uniqueId val="{00000000-2AC3-4F4D-BDA3-DD02D9036EB0}"/>
            </c:ext>
          </c:extLst>
        </c:ser>
        <c:dLbls>
          <c:dLblPos val="outEnd"/>
          <c:showLegendKey val="0"/>
          <c:showVal val="1"/>
          <c:showCatName val="0"/>
          <c:showSerName val="0"/>
          <c:showPercent val="0"/>
          <c:showBubbleSize val="0"/>
        </c:dLbls>
        <c:gapWidth val="219"/>
        <c:axId val="1464725280"/>
        <c:axId val="1464755200"/>
      </c:barChart>
      <c:catAx>
        <c:axId val="146472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55200"/>
        <c:crosses val="autoZero"/>
        <c:auto val="1"/>
        <c:lblAlgn val="ctr"/>
        <c:lblOffset val="100"/>
        <c:noMultiLvlLbl val="0"/>
      </c:catAx>
      <c:valAx>
        <c:axId val="14647552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25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'Q6'!$B$4:$B$14</c:f>
              <c:strCache>
                <c:ptCount val="11"/>
                <c:pt idx="0">
                  <c:v>Reabilitarea drumurilor județene și comunale</c:v>
                </c:pt>
                <c:pt idx="1">
                  <c:v>Modernizarea transportului public local (inclusiv digitalizare)</c:v>
                </c:pt>
                <c:pt idx="2">
                  <c:v>Dezvoltarea infrastructurii aeroportuare</c:v>
                </c:pt>
                <c:pt idx="3">
                  <c:v>Dezvoltarea infrastructurii feroviare (modernizare, electrificare, extindere)</c:v>
                </c:pt>
                <c:pt idx="4">
                  <c:v>Crearea unui hub intermodal (aerian-naval-feroviar-rutier)</c:v>
                </c:pt>
                <c:pt idx="5">
                  <c:v>Conectarea eficientă cu porturile dunărene și maritime (Sulina, Tulcea, Galați)</c:v>
                </c:pt>
                <c:pt idx="6">
                  <c:v>Dezvoltarea infrastructurii pentru transportul de mărfuri și pasageri (logistică, etc.)</c:v>
                </c:pt>
                <c:pt idx="7">
                  <c:v>Reabilitarea infrastructurii portuare (fluviale / maritime)</c:v>
                </c:pt>
                <c:pt idx="8">
                  <c:v>Digitalizarea și monitorizarea traficului (ITS, GIS etc.)</c:v>
                </c:pt>
                <c:pt idx="9">
                  <c:v>Creșterea accesului în Delta Dunării prin transport ecologic</c:v>
                </c:pt>
                <c:pt idx="10">
                  <c:v>Dezvoltarea infrastructurii pentru biciclete și transport alternativ</c:v>
                </c:pt>
              </c:strCache>
            </c:strRef>
          </c:cat>
          <c:val>
            <c:numRef>
              <c:f>'Q6'!$C$4:$C$14</c:f>
              <c:numCache>
                <c:formatCode>#,##0.00</c:formatCode>
                <c:ptCount val="11"/>
                <c:pt idx="0">
                  <c:v>4.5666666669999998</c:v>
                </c:pt>
                <c:pt idx="1">
                  <c:v>4.4193548390000004</c:v>
                </c:pt>
                <c:pt idx="2">
                  <c:v>4.0689655169999996</c:v>
                </c:pt>
                <c:pt idx="3">
                  <c:v>4.3666666669999996</c:v>
                </c:pt>
                <c:pt idx="4">
                  <c:v>4.4285714289999998</c:v>
                </c:pt>
                <c:pt idx="5">
                  <c:v>4.5161290320000003</c:v>
                </c:pt>
                <c:pt idx="6">
                  <c:v>4.4193548390000004</c:v>
                </c:pt>
                <c:pt idx="7">
                  <c:v>4.3666666669999996</c:v>
                </c:pt>
                <c:pt idx="8">
                  <c:v>4.233333333</c:v>
                </c:pt>
                <c:pt idx="9">
                  <c:v>4.451612903</c:v>
                </c:pt>
                <c:pt idx="10">
                  <c:v>4.2903225809999999</c:v>
                </c:pt>
              </c:numCache>
            </c:numRef>
          </c:val>
          <c:extLst xmlns:c16r2="http://schemas.microsoft.com/office/drawing/2015/06/chart">
            <c:ext xmlns:c16="http://schemas.microsoft.com/office/drawing/2014/chart" uri="{C3380CC4-5D6E-409C-BE32-E72D297353CC}">
              <c16:uniqueId val="{00000000-BDB4-4E54-806B-C3313EA98A9E}"/>
            </c:ext>
          </c:extLst>
        </c:ser>
        <c:dLbls>
          <c:dLblPos val="outEnd"/>
          <c:showLegendKey val="0"/>
          <c:showVal val="1"/>
          <c:showCatName val="0"/>
          <c:showSerName val="0"/>
          <c:showPercent val="0"/>
          <c:showBubbleSize val="0"/>
        </c:dLbls>
        <c:gapWidth val="182"/>
        <c:axId val="1464754112"/>
        <c:axId val="1464756288"/>
      </c:barChart>
      <c:catAx>
        <c:axId val="146475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56288"/>
        <c:crosses val="autoZero"/>
        <c:auto val="1"/>
        <c:lblAlgn val="ctr"/>
        <c:lblOffset val="100"/>
        <c:noMultiLvlLbl val="0"/>
      </c:catAx>
      <c:valAx>
        <c:axId val="14647562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crossAx val="1464754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06F6D3926A2945A3CFAAE15EE24433" ma:contentTypeVersion="1" ma:contentTypeDescription="Create a new document." ma:contentTypeScope="" ma:versionID="c2a4f07bba72537cd7b41b2b22671b8c">
  <xsd:schema xmlns:xsd="http://www.w3.org/2001/XMLSchema" xmlns:xs="http://www.w3.org/2001/XMLSchema" xmlns:p="http://schemas.microsoft.com/office/2006/metadata/properties" xmlns:ns2="4673849d-0144-459c-bfe6-3d40b74c5159" targetNamespace="http://schemas.microsoft.com/office/2006/metadata/properties" ma:root="true" ma:fieldsID="f55856b239e2f9012594df298024ee50" ns2:_="">
    <xsd:import namespace="4673849d-0144-459c-bfe6-3d40b74c515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3849d-0144-459c-bfe6-3d40b74c51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6BB420-2C23-4AA0-AD7B-A69165E0D90F}">
  <ds:schemaRefs>
    <ds:schemaRef ds:uri="http://schemas.openxmlformats.org/officeDocument/2006/bibliography"/>
  </ds:schemaRefs>
</ds:datastoreItem>
</file>

<file path=customXml/itemProps2.xml><?xml version="1.0" encoding="utf-8"?>
<ds:datastoreItem xmlns:ds="http://schemas.openxmlformats.org/officeDocument/2006/customXml" ds:itemID="{8DED8718-3C53-4063-BB23-76E6D1BF3EEB}"/>
</file>

<file path=customXml/itemProps3.xml><?xml version="1.0" encoding="utf-8"?>
<ds:datastoreItem xmlns:ds="http://schemas.openxmlformats.org/officeDocument/2006/customXml" ds:itemID="{36C51EC2-39C3-4681-963C-BA5A4C9E9EE3}"/>
</file>

<file path=customXml/itemProps4.xml><?xml version="1.0" encoding="utf-8"?>
<ds:datastoreItem xmlns:ds="http://schemas.openxmlformats.org/officeDocument/2006/customXml" ds:itemID="{D35D59F1-8386-435B-99E1-BCEAA00E5B9C}"/>
</file>

<file path=docProps/app.xml><?xml version="1.0" encoding="utf-8"?>
<Properties xmlns="http://schemas.openxmlformats.org/officeDocument/2006/extended-properties" xmlns:vt="http://schemas.openxmlformats.org/officeDocument/2006/docPropsVTypes">
  <Template>Normal.dotm</Template>
  <TotalTime>0</TotalTime>
  <Pages>90</Pages>
  <Words>32135</Words>
  <Characters>186385</Characters>
  <Application>Microsoft Office Word</Application>
  <DocSecurity>0</DocSecurity>
  <Lines>1553</Lines>
  <Paragraphs>436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Synesis 9</dc:creator>
  <cp:keywords/>
  <dc:description/>
  <cp:lastModifiedBy>Iulian Balaj</cp:lastModifiedBy>
  <cp:revision>2</cp:revision>
  <cp:lastPrinted>2025-10-01T07:53:00Z</cp:lastPrinted>
  <dcterms:created xsi:type="dcterms:W3CDTF">2025-10-06T05:32:00Z</dcterms:created>
  <dcterms:modified xsi:type="dcterms:W3CDTF">2025-10-06T05:32:00Z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0x0101000106F6D3926A2945A3CFAAE15EE24433</vt:lpwstr>
  </property>
</Properties>
</file>